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val="0"/>
        <w:snapToGrid/>
        <w:spacing w:after="0" w:line="500" w:lineRule="exact"/>
        <w:ind w:firstLine="0" w:firstLineChars="0"/>
        <w:jc w:val="left"/>
        <w:textAlignment w:val="auto"/>
        <w:rPr>
          <w:rFonts w:ascii="宋体" w:hAnsi="宋体" w:cs="宋体"/>
          <w:b/>
          <w:kern w:val="0"/>
          <w:sz w:val="24"/>
          <w:szCs w:val="24"/>
        </w:rPr>
      </w:pPr>
      <w:bookmarkStart w:id="0" w:name="_GoBack"/>
      <w:bookmarkEnd w:id="0"/>
    </w:p>
    <w:p>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640" w:lineRule="exact"/>
        <w:ind w:firstLine="0" w:firstLineChars="0"/>
        <w:jc w:val="center"/>
        <w:textAlignment w:val="auto"/>
        <w:rPr>
          <w:rFonts w:ascii="方正小标宋简体" w:hAnsi="宋体" w:eastAsia="方正小标宋简体" w:cs="方正小标宋简体"/>
          <w:b/>
          <w:kern w:val="44"/>
          <w:sz w:val="44"/>
          <w:szCs w:val="44"/>
        </w:rPr>
      </w:pPr>
      <w:r>
        <w:rPr>
          <w:rFonts w:hint="eastAsia" w:ascii="方正小标宋简体" w:hAnsi="宋体" w:eastAsia="方正小标宋简体" w:cs="方正小标宋简体"/>
          <w:b/>
          <w:kern w:val="44"/>
          <w:sz w:val="44"/>
          <w:szCs w:val="44"/>
        </w:rPr>
        <w:t>中国石油天然气股份有限公司</w:t>
      </w:r>
    </w:p>
    <w:p>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640" w:lineRule="exact"/>
        <w:ind w:firstLine="0" w:firstLineChars="0"/>
        <w:jc w:val="center"/>
        <w:textAlignment w:val="auto"/>
        <w:rPr>
          <w:rFonts w:hint="eastAsia" w:ascii="方正小标宋简体" w:hAnsi="宋体" w:eastAsia="方正小标宋简体" w:cs="方正小标宋简体"/>
          <w:b/>
          <w:kern w:val="44"/>
          <w:sz w:val="44"/>
          <w:szCs w:val="44"/>
        </w:rPr>
      </w:pPr>
      <w:r>
        <w:rPr>
          <w:rFonts w:hint="eastAsia" w:ascii="方正小标宋简体" w:hAnsi="宋体" w:eastAsia="方正小标宋简体" w:cs="方正小标宋简体"/>
          <w:b/>
          <w:kern w:val="44"/>
          <w:sz w:val="44"/>
          <w:szCs w:val="44"/>
        </w:rPr>
        <w:t>投标人失信行为管理办法</w:t>
      </w:r>
    </w:p>
    <w:p>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beforeLines="0" w:after="0" w:afterLines="0" w:line="560" w:lineRule="atLeast"/>
        <w:ind w:firstLine="0" w:firstLineChars="0"/>
        <w:jc w:val="center"/>
        <w:textAlignment w:val="auto"/>
        <w:rPr>
          <w:rFonts w:hint="eastAsia" w:ascii="方正小标宋简体" w:hAnsi="宋体" w:eastAsia="方正小标宋简体" w:cs="方正小标宋简体"/>
          <w:b/>
          <w:kern w:val="44"/>
          <w:sz w:val="32"/>
          <w:szCs w:val="32"/>
        </w:rPr>
      </w:pPr>
    </w:p>
    <w:p>
      <w:pPr>
        <w:pStyle w:val="2"/>
        <w:keepNext w:val="0"/>
        <w:keepLines w:val="0"/>
        <w:tabs>
          <w:tab w:val="left" w:pos="540"/>
          <w:tab w:val="left" w:pos="720"/>
        </w:tabs>
        <w:overflowPunct w:val="0"/>
        <w:adjustRightInd w:val="0"/>
        <w:spacing w:before="0" w:beforeLines="0" w:after="0" w:afterLines="0" w:line="560" w:lineRule="atLeast"/>
        <w:ind w:firstLine="0" w:firstLineChars="0"/>
        <w:jc w:val="center"/>
        <w:rPr>
          <w:rFonts w:ascii="方正小标宋简体" w:eastAsia="方正小标宋简体"/>
          <w:bCs w:val="0"/>
          <w:sz w:val="32"/>
          <w:szCs w:val="32"/>
        </w:rPr>
      </w:pPr>
      <w:r>
        <w:rPr>
          <w:rFonts w:hint="eastAsia" w:ascii="方正小标宋简体" w:eastAsia="方正小标宋简体" w:cs="方正小标宋简体"/>
          <w:bCs w:val="0"/>
          <w:sz w:val="32"/>
          <w:szCs w:val="32"/>
        </w:rPr>
        <w:t>第一章  总  则</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hint="eastAsia" w:ascii="方正黑体简体" w:hAnsi="宋体" w:eastAsia="方正黑体简体" w:cs="方正仿宋简体"/>
          <w:b/>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ascii="方正仿宋简体" w:hAnsi="宋体" w:eastAsia="方正仿宋简体"/>
          <w:b/>
        </w:rPr>
      </w:pPr>
      <w:r>
        <w:rPr>
          <w:rFonts w:hint="eastAsia" w:ascii="方正黑体简体" w:hAnsi="宋体" w:eastAsia="方正黑体简体" w:cs="方正仿宋简体"/>
          <w:b/>
        </w:rPr>
        <w:t xml:space="preserve">第一条  </w:t>
      </w:r>
      <w:r>
        <w:rPr>
          <w:rFonts w:hint="eastAsia" w:ascii="方正仿宋简体" w:hAnsi="宋体" w:eastAsia="方正仿宋简体" w:cs="方正仿宋简体"/>
          <w:b/>
        </w:rPr>
        <w:t>为进一步加强中国石油天然气股份有限公司（以下简称股份公司）招标投标管理，规范投标行为，建立失信惩戒机制，促进诚信自律，优化营商环境，维护股份公司利益，根据国家相关法律法规和股份公司招标管理有关规定，制定本办法。</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ascii="方正仿宋简体" w:hAnsi="宋体" w:eastAsia="方正仿宋简体" w:cs="方正仿宋简体"/>
          <w:b/>
        </w:rPr>
      </w:pPr>
      <w:r>
        <w:rPr>
          <w:rFonts w:hint="eastAsia" w:ascii="方正黑体简体" w:hAnsi="宋体" w:eastAsia="方正黑体简体" w:cs="方正仿宋简体"/>
          <w:b/>
        </w:rPr>
        <w:t xml:space="preserve">第二条  </w:t>
      </w:r>
      <w:r>
        <w:rPr>
          <w:rFonts w:hint="eastAsia" w:ascii="方正仿宋简体" w:hAnsi="宋体" w:eastAsia="方正仿宋简体" w:cs="方正仿宋简体"/>
          <w:b/>
        </w:rPr>
        <w:t>本办法适用于股份公司总部部门、专业公司，所属企业和股份公司直接管理的其他机构（以下统称所属单位）招标项目中涉及的投标人失信行为管理。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ascii="方正仿宋简体" w:hAnsi="宋体" w:eastAsia="方正仿宋简体" w:cs="方正仿宋简体"/>
          <w:b/>
        </w:rPr>
      </w:pPr>
      <w:r>
        <w:rPr>
          <w:rFonts w:hint="eastAsia" w:ascii="方正仿宋简体" w:hAnsi="宋体" w:eastAsia="方正仿宋简体" w:cs="方正仿宋简体"/>
          <w:b/>
        </w:rPr>
        <w:t>控股公司、实际控制企业通过法定程序执行本办法，参股公司参照执行。</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ascii="方正仿宋简体" w:hAnsi="宋体" w:eastAsia="方正仿宋简体" w:cs="方正仿宋简体"/>
          <w:b/>
        </w:rPr>
      </w:pPr>
      <w:r>
        <w:rPr>
          <w:rFonts w:hint="eastAsia" w:ascii="方正仿宋简体" w:hAnsi="宋体" w:eastAsia="方正仿宋简体" w:cs="方正仿宋简体"/>
          <w:b/>
        </w:rPr>
        <w:t>境外项目所在国法律、项目协议、公司章程对投标人失信行为有限制性规定的，从其规定。</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ascii="方正仿宋简体" w:hAnsi="宋体" w:eastAsia="方正仿宋简体" w:cs="方正仿宋简体"/>
          <w:b/>
          <w:spacing w:val="-4"/>
        </w:rPr>
      </w:pPr>
      <w:r>
        <w:rPr>
          <w:rFonts w:hint="eastAsia" w:ascii="方正黑体简体" w:hAnsi="宋体" w:eastAsia="方正黑体简体" w:cs="方正仿宋简体"/>
          <w:b/>
        </w:rPr>
        <w:t xml:space="preserve">第三条  </w:t>
      </w:r>
      <w:r>
        <w:rPr>
          <w:rFonts w:hint="eastAsia" w:ascii="方正仿宋简体" w:hAnsi="宋体" w:eastAsia="方正仿宋简体" w:cs="方正仿宋简体"/>
          <w:b/>
        </w:rPr>
        <w:t>本</w:t>
      </w:r>
      <w:r>
        <w:rPr>
          <w:rFonts w:hint="eastAsia" w:ascii="方正仿宋简体" w:hAnsi="宋体" w:eastAsia="方正仿宋简体" w:cs="方正仿宋简体"/>
          <w:b/>
          <w:spacing w:val="-4"/>
        </w:rPr>
        <w:t>办法所称投标人失信行为，是指投标人在招标、投标、开标、评标、定标、合同签订等环节，违反国家相关法律法规、股份公司有关规定</w:t>
      </w:r>
      <w:r>
        <w:rPr>
          <w:rFonts w:hint="eastAsia"/>
          <w:b/>
          <w:spacing w:val="-4"/>
        </w:rPr>
        <w:t>，</w:t>
      </w:r>
      <w:r>
        <w:rPr>
          <w:rFonts w:hint="eastAsia" w:ascii="方正仿宋简体" w:hAnsi="宋体" w:eastAsia="方正仿宋简体" w:cs="方正仿宋简体"/>
          <w:b/>
          <w:spacing w:val="-4"/>
        </w:rPr>
        <w:t>违背诚实信用原则的行为。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ascii="方正仿宋简体" w:hAnsi="宋体" w:eastAsia="方正仿宋简体" w:cs="方正仿宋简体"/>
          <w:b/>
        </w:rPr>
      </w:pPr>
      <w:r>
        <w:rPr>
          <w:rFonts w:hint="eastAsia" w:ascii="方正仿宋简体" w:hAnsi="宋体" w:eastAsia="方正仿宋简体" w:cs="方正仿宋简体"/>
          <w:b/>
        </w:rPr>
        <w:t>本办法所称失信行为人是指违反本办法规定的投标人、潜在投标人和其他利害关系人。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ascii="方正仿宋简体" w:hAnsi="宋体" w:eastAsia="方正仿宋简体" w:cs="方正仿宋简体"/>
          <w:b/>
        </w:rPr>
      </w:pPr>
      <w:r>
        <w:rPr>
          <w:rFonts w:hint="eastAsia" w:ascii="方正仿宋简体" w:hAnsi="宋体" w:eastAsia="方正仿宋简体" w:cs="方正仿宋简体"/>
          <w:b/>
        </w:rPr>
        <w:t>潜在投标人和其他利害关系人适用于本办法中关于投标人的规定。</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ascii="方正仿宋简体" w:hAnsi="宋体" w:eastAsia="方正仿宋简体" w:cs="方正仿宋简体"/>
          <w:b/>
        </w:rPr>
      </w:pPr>
      <w:r>
        <w:rPr>
          <w:rFonts w:hint="eastAsia" w:ascii="方正黑体简体" w:hAnsi="宋体" w:eastAsia="方正黑体简体" w:cs="方正仿宋简体"/>
          <w:b/>
        </w:rPr>
        <w:t xml:space="preserve">第四条  </w:t>
      </w:r>
      <w:r>
        <w:rPr>
          <w:rFonts w:hint="eastAsia" w:ascii="方正仿宋简体" w:hAnsi="宋体" w:eastAsia="方正仿宋简体" w:cs="方正仿宋简体"/>
          <w:b/>
        </w:rPr>
        <w:t>投标人失信行为管理遵循以下</w:t>
      </w:r>
      <w:r>
        <w:rPr>
          <w:rFonts w:ascii="方正仿宋简体" w:hAnsi="宋体" w:eastAsia="方正仿宋简体" w:cs="方正仿宋简体"/>
          <w:b/>
        </w:rPr>
        <w:t>原则：</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ascii="方正仿宋简体" w:hAnsi="宋体" w:eastAsia="方正仿宋简体" w:cs="方正仿宋简体"/>
          <w:b/>
        </w:rPr>
      </w:pPr>
      <w:r>
        <w:rPr>
          <w:rFonts w:hint="eastAsia" w:ascii="方正仿宋简体" w:hAnsi="宋体" w:eastAsia="方正仿宋简体" w:cs="方正仿宋简体"/>
          <w:b/>
        </w:rPr>
        <w:t>（一）依法合规、客观公正；</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ascii="方正仿宋简体" w:hAnsi="宋体" w:eastAsia="方正仿宋简体" w:cs="方正仿宋简体"/>
          <w:b/>
        </w:rPr>
      </w:pPr>
      <w:r>
        <w:rPr>
          <w:rFonts w:hint="eastAsia" w:ascii="方正仿宋简体" w:hAnsi="宋体" w:eastAsia="方正仿宋简体" w:cs="方正仿宋简体"/>
          <w:b/>
        </w:rPr>
        <w:t>（二）审慎评判、</w:t>
      </w:r>
      <w:r>
        <w:rPr>
          <w:rFonts w:ascii="方正仿宋简体" w:hAnsi="宋体" w:eastAsia="方正仿宋简体" w:cs="方正仿宋简体"/>
          <w:b/>
        </w:rPr>
        <w:t>严肃处理；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ascii="方正仿宋简体" w:hAnsi="宋体" w:eastAsia="方正仿宋简体"/>
          <w:b/>
        </w:rPr>
      </w:pPr>
      <w:r>
        <w:rPr>
          <w:rFonts w:hint="eastAsia" w:ascii="方正仿宋简体" w:hAnsi="宋体" w:eastAsia="方正仿宋简体" w:cs="方正仿宋简体"/>
          <w:b/>
        </w:rPr>
        <w:t>（三）信息共享、联合惩戒。</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hint="eastAsia" w:ascii="方正仿宋简体" w:hAnsi="宋体" w:eastAsia="方正仿宋简体" w:cs="方正仿宋简体"/>
          <w:b/>
        </w:rPr>
      </w:pPr>
      <w:r>
        <w:rPr>
          <w:rFonts w:hint="eastAsia" w:ascii="方正黑体简体" w:hAnsi="宋体" w:eastAsia="方正黑体简体" w:cs="方正仿宋简体"/>
          <w:b/>
        </w:rPr>
        <w:t xml:space="preserve">第五条  </w:t>
      </w:r>
      <w:r>
        <w:rPr>
          <w:rFonts w:hint="eastAsia" w:ascii="方正仿宋简体" w:hAnsi="宋体" w:eastAsia="方正仿宋简体" w:cs="方正仿宋简体"/>
          <w:b/>
        </w:rPr>
        <w:t>投标人失信行为记录纳入承包商、供应商、服务商的年度评价管理。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hint="eastAsia" w:ascii="方正仿宋简体" w:hAnsi="宋体" w:eastAsia="方正仿宋简体" w:cs="方正仿宋简体"/>
          <w:b/>
        </w:rPr>
      </w:pPr>
    </w:p>
    <w:p>
      <w:pPr>
        <w:pStyle w:val="2"/>
        <w:keepNext w:val="0"/>
        <w:keepLines w:val="0"/>
        <w:tabs>
          <w:tab w:val="left" w:pos="540"/>
          <w:tab w:val="left" w:pos="720"/>
        </w:tabs>
        <w:overflowPunct w:val="0"/>
        <w:adjustRightInd w:val="0"/>
        <w:spacing w:before="0" w:beforeLines="0" w:after="0" w:afterLines="0" w:line="560" w:lineRule="atLeast"/>
        <w:ind w:firstLine="0" w:firstLineChars="0"/>
        <w:jc w:val="center"/>
        <w:rPr>
          <w:rFonts w:ascii="方正小标宋简体" w:eastAsia="方正小标宋简体" w:cs="方正小标宋简体"/>
          <w:bCs w:val="0"/>
          <w:sz w:val="32"/>
          <w:szCs w:val="32"/>
        </w:rPr>
      </w:pPr>
      <w:r>
        <w:rPr>
          <w:rFonts w:hint="eastAsia" w:ascii="方正小标宋简体" w:eastAsia="方正小标宋简体" w:cs="方正小标宋简体"/>
          <w:bCs w:val="0"/>
          <w:sz w:val="32"/>
          <w:szCs w:val="32"/>
        </w:rPr>
        <w:t>第二章  职责与分工</w:t>
      </w:r>
    </w:p>
    <w:p>
      <w:pPr>
        <w:pStyle w:val="25"/>
        <w:overflowPunct w:val="0"/>
        <w:adjustRightInd w:val="0"/>
        <w:spacing w:beforeLines="0" w:after="0" w:afterLines="0" w:line="560" w:lineRule="atLeast"/>
        <w:ind w:firstLine="634"/>
        <w:rPr>
          <w:rFonts w:hint="eastAsia" w:ascii="方正黑体简体" w:hAnsi="宋体" w:eastAsia="方正黑体简体" w:cs="方正仿宋简体"/>
          <w:b/>
          <w:sz w:val="32"/>
          <w:szCs w:val="32"/>
        </w:rPr>
      </w:pPr>
    </w:p>
    <w:p>
      <w:pPr>
        <w:pStyle w:val="25"/>
        <w:overflowPunct w:val="0"/>
        <w:adjustRightInd w:val="0"/>
        <w:spacing w:beforeLines="0" w:after="0" w:afterLines="0" w:line="560" w:lineRule="atLeast"/>
        <w:ind w:firstLine="634"/>
        <w:rPr>
          <w:rFonts w:ascii="方正仿宋简体" w:hAnsi="宋体" w:eastAsia="方正仿宋简体" w:cs="方正仿宋简体"/>
          <w:b/>
          <w:spacing w:val="-4"/>
          <w:sz w:val="32"/>
          <w:szCs w:val="32"/>
        </w:rPr>
      </w:pPr>
      <w:r>
        <w:rPr>
          <w:rFonts w:hint="eastAsia" w:ascii="方正黑体简体" w:hAnsi="宋体" w:eastAsia="方正黑体简体" w:cs="方正仿宋简体"/>
          <w:b/>
          <w:sz w:val="32"/>
          <w:szCs w:val="32"/>
        </w:rPr>
        <w:t xml:space="preserve">第六条  </w:t>
      </w:r>
      <w:r>
        <w:rPr>
          <w:rFonts w:hint="eastAsia" w:ascii="方正仿宋简体" w:hAnsi="宋体" w:eastAsia="方正仿宋简体" w:cs="方正仿宋简体"/>
          <w:b/>
          <w:sz w:val="32"/>
          <w:szCs w:val="32"/>
        </w:rPr>
        <w:t>工</w:t>
      </w:r>
      <w:r>
        <w:rPr>
          <w:rFonts w:hint="eastAsia" w:ascii="方正仿宋简体" w:hAnsi="宋体" w:eastAsia="方正仿宋简体" w:cs="方正仿宋简体"/>
          <w:b/>
          <w:spacing w:val="-4"/>
          <w:sz w:val="32"/>
          <w:szCs w:val="32"/>
        </w:rPr>
        <w:t>程和物装管理部是投标人失信行为管理的归口部门，招标管理办公室承担具体工作，履行以下主要职责：</w:t>
      </w:r>
    </w:p>
    <w:p>
      <w:pPr>
        <w:pStyle w:val="25"/>
        <w:overflowPunct w:val="0"/>
        <w:adjustRightInd w:val="0"/>
        <w:spacing w:beforeLines="0" w:after="0" w:afterLines="0" w:line="560" w:lineRule="atLeast"/>
        <w:ind w:firstLine="634"/>
        <w:rPr>
          <w:rFonts w:ascii="方正仿宋简体" w:hAnsi="宋体" w:eastAsia="方正仿宋简体" w:cs="Times New Roman"/>
          <w:b/>
          <w:sz w:val="32"/>
          <w:szCs w:val="32"/>
        </w:rPr>
      </w:pPr>
      <w:r>
        <w:rPr>
          <w:rFonts w:hint="eastAsia" w:ascii="方正仿宋简体" w:hAnsi="宋体" w:eastAsia="方正仿宋简体" w:cs="方正仿宋简体"/>
          <w:b/>
          <w:sz w:val="32"/>
          <w:szCs w:val="32"/>
        </w:rPr>
        <w:t>（一）贯彻国家相关法律法规，制订股份公司投标人失信行为管理规章制度；</w:t>
      </w:r>
    </w:p>
    <w:p>
      <w:pPr>
        <w:pStyle w:val="25"/>
        <w:tabs>
          <w:tab w:val="left" w:pos="1620"/>
        </w:tabs>
        <w:overflowPunct w:val="0"/>
        <w:adjustRightInd w:val="0"/>
        <w:spacing w:beforeLines="0" w:after="0" w:afterLines="0" w:line="560" w:lineRule="atLeast"/>
        <w:ind w:firstLine="634"/>
        <w:rPr>
          <w:rFonts w:ascii="方正仿宋简体" w:hAnsi="宋体" w:eastAsia="方正仿宋简体" w:cs="Times New Roman"/>
          <w:b/>
          <w:sz w:val="32"/>
          <w:szCs w:val="32"/>
        </w:rPr>
      </w:pPr>
      <w:r>
        <w:rPr>
          <w:rFonts w:hint="eastAsia" w:ascii="方正仿宋简体" w:hAnsi="宋体" w:eastAsia="方正仿宋简体" w:cs="Times New Roman"/>
          <w:b/>
          <w:sz w:val="32"/>
          <w:szCs w:val="32"/>
        </w:rPr>
        <w:t>（二）负责管理投标人失信行为信息发布工作；</w:t>
      </w:r>
    </w:p>
    <w:p>
      <w:pPr>
        <w:pStyle w:val="25"/>
        <w:overflowPunct w:val="0"/>
        <w:adjustRightInd w:val="0"/>
        <w:spacing w:beforeLines="0" w:after="0" w:afterLines="0" w:line="560" w:lineRule="atLeast"/>
        <w:ind w:firstLine="634"/>
        <w:rPr>
          <w:rFonts w:ascii="方正仿宋简体" w:hAnsi="宋体" w:eastAsia="方正仿宋简体" w:cs="Times New Roman"/>
          <w:b/>
          <w:spacing w:val="-6"/>
          <w:sz w:val="32"/>
          <w:szCs w:val="32"/>
        </w:rPr>
      </w:pPr>
      <w:r>
        <w:rPr>
          <w:rFonts w:hint="eastAsia" w:ascii="方正仿宋简体" w:hAnsi="宋体" w:eastAsia="方正仿宋简体" w:cs="方正仿宋简体"/>
          <w:b/>
          <w:sz w:val="32"/>
          <w:szCs w:val="32"/>
        </w:rPr>
        <w:t>（三）负</w:t>
      </w:r>
      <w:r>
        <w:rPr>
          <w:rFonts w:hint="eastAsia" w:ascii="方正仿宋简体" w:hAnsi="宋体" w:eastAsia="方正仿宋简体" w:cs="方正仿宋简体"/>
          <w:b/>
          <w:spacing w:val="-6"/>
          <w:sz w:val="32"/>
          <w:szCs w:val="32"/>
        </w:rPr>
        <w:t>责处理投标人失信行为管理工作中的重大事项；</w:t>
      </w:r>
    </w:p>
    <w:p>
      <w:pPr>
        <w:pStyle w:val="25"/>
        <w:tabs>
          <w:tab w:val="left" w:pos="1620"/>
        </w:tabs>
        <w:overflowPunct w:val="0"/>
        <w:adjustRightInd w:val="0"/>
        <w:spacing w:beforeLines="0" w:after="0" w:afterLines="0" w:line="560" w:lineRule="atLeast"/>
        <w:ind w:firstLine="634"/>
        <w:rPr>
          <w:rFonts w:ascii="方正仿宋简体" w:hAnsi="宋体" w:eastAsia="方正仿宋简体" w:cs="Times New Roman"/>
          <w:b/>
          <w:sz w:val="32"/>
          <w:szCs w:val="32"/>
        </w:rPr>
      </w:pPr>
      <w:r>
        <w:rPr>
          <w:rFonts w:hint="eastAsia" w:ascii="方正仿宋简体" w:hAnsi="宋体" w:eastAsia="方正仿宋简体" w:cs="方正仿宋简体"/>
          <w:b/>
          <w:sz w:val="32"/>
          <w:szCs w:val="32"/>
        </w:rPr>
        <w:t>（四）指导、监督和检查所属单位投标人失信行为管理工作。</w:t>
      </w:r>
    </w:p>
    <w:p>
      <w:pPr>
        <w:pStyle w:val="25"/>
        <w:tabs>
          <w:tab w:val="left" w:pos="1620"/>
        </w:tabs>
        <w:overflowPunct w:val="0"/>
        <w:adjustRightInd w:val="0"/>
        <w:spacing w:beforeLines="0" w:after="0" w:afterLines="0" w:line="560" w:lineRule="atLeast"/>
        <w:ind w:firstLine="634"/>
        <w:rPr>
          <w:rFonts w:ascii="方正仿宋简体" w:hAnsi="宋体" w:eastAsia="方正仿宋简体" w:cs="Times New Roman"/>
          <w:b/>
          <w:sz w:val="32"/>
          <w:szCs w:val="32"/>
        </w:rPr>
      </w:pPr>
      <w:r>
        <w:rPr>
          <w:rFonts w:hint="eastAsia" w:ascii="方正仿宋简体" w:hAnsi="宋体" w:eastAsia="方正仿宋简体" w:cs="方正仿宋简体"/>
          <w:b/>
          <w:sz w:val="32"/>
          <w:szCs w:val="32"/>
        </w:rPr>
        <w:t>股份公司相关部门按职能分工负责相应工作。</w:t>
      </w:r>
    </w:p>
    <w:p>
      <w:pPr>
        <w:pStyle w:val="28"/>
        <w:overflowPunct w:val="0"/>
        <w:adjustRightInd w:val="0"/>
        <w:spacing w:beforeLines="0" w:after="0" w:afterLines="0" w:line="560" w:lineRule="atLeast"/>
        <w:ind w:firstLine="634"/>
        <w:rPr>
          <w:rFonts w:ascii="方正仿宋简体" w:hAnsi="宋体" w:eastAsia="方正仿宋简体"/>
          <w:b/>
        </w:rPr>
      </w:pPr>
      <w:r>
        <w:rPr>
          <w:rFonts w:hint="eastAsia" w:ascii="方正黑体简体" w:hAnsi="宋体" w:eastAsia="方正黑体简体" w:cs="方正仿宋简体"/>
          <w:b/>
        </w:rPr>
        <w:t xml:space="preserve">第七条  </w:t>
      </w:r>
      <w:r>
        <w:rPr>
          <w:rFonts w:hint="eastAsia" w:ascii="方正仿宋简体" w:hAnsi="宋体" w:eastAsia="方正仿宋简体"/>
          <w:b/>
        </w:rPr>
        <w:t>所属单位招标管理部门是本单位</w:t>
      </w:r>
      <w:r>
        <w:rPr>
          <w:rFonts w:hint="eastAsia" w:ascii="方正仿宋简体" w:hAnsi="宋体" w:eastAsia="方正仿宋简体" w:cs="方正仿宋简体"/>
          <w:b/>
        </w:rPr>
        <w:t>投标人失信行为</w:t>
      </w:r>
      <w:r>
        <w:rPr>
          <w:rFonts w:hint="eastAsia" w:ascii="方正仿宋简体" w:hAnsi="宋体" w:eastAsia="方正仿宋简体"/>
          <w:b/>
        </w:rPr>
        <w:t>管理的归口部门</w:t>
      </w:r>
      <w:r>
        <w:rPr>
          <w:rFonts w:hint="eastAsia" w:ascii="方正仿宋简体" w:hAnsi="宋体" w:eastAsia="方正仿宋简体" w:cs="方正仿宋简体"/>
          <w:b/>
        </w:rPr>
        <w:t>，履行以下主要职责：</w:t>
      </w:r>
    </w:p>
    <w:p>
      <w:pPr>
        <w:pStyle w:val="25"/>
        <w:overflowPunct w:val="0"/>
        <w:adjustRightInd w:val="0"/>
        <w:spacing w:beforeLines="0" w:after="0" w:afterLines="0" w:line="560" w:lineRule="atLeast"/>
        <w:ind w:firstLine="634"/>
        <w:rPr>
          <w:rFonts w:ascii="方正仿宋简体" w:hAnsi="宋体" w:eastAsia="方正仿宋简体" w:cs="方正仿宋简体"/>
          <w:b/>
          <w:spacing w:val="-11"/>
          <w:sz w:val="32"/>
          <w:szCs w:val="32"/>
        </w:rPr>
      </w:pPr>
      <w:r>
        <w:rPr>
          <w:rFonts w:hint="eastAsia" w:ascii="方正仿宋简体" w:hAnsi="宋体" w:eastAsia="方正仿宋简体" w:cs="方正仿宋简体"/>
          <w:b/>
          <w:sz w:val="32"/>
          <w:szCs w:val="32"/>
        </w:rPr>
        <w:t>（一）贯</w:t>
      </w:r>
      <w:r>
        <w:rPr>
          <w:rFonts w:hint="eastAsia" w:ascii="方正仿宋简体" w:hAnsi="宋体" w:eastAsia="方正仿宋简体" w:cs="方正仿宋简体"/>
          <w:b/>
          <w:spacing w:val="-11"/>
          <w:sz w:val="32"/>
          <w:szCs w:val="32"/>
        </w:rPr>
        <w:t>彻落实股份公司投标人失信行为管理的相关规定；</w:t>
      </w:r>
    </w:p>
    <w:p>
      <w:pPr>
        <w:pStyle w:val="25"/>
        <w:overflowPunct w:val="0"/>
        <w:adjustRightInd w:val="0"/>
        <w:spacing w:beforeLines="0" w:after="0" w:afterLines="0" w:line="560" w:lineRule="atLeast"/>
        <w:ind w:firstLine="634"/>
        <w:rPr>
          <w:rFonts w:ascii="方正仿宋简体" w:hAnsi="宋体" w:eastAsia="方正仿宋简体" w:cs="Times New Roman"/>
          <w:b/>
          <w:sz w:val="32"/>
          <w:szCs w:val="32"/>
        </w:rPr>
      </w:pPr>
      <w:r>
        <w:rPr>
          <w:rFonts w:hint="eastAsia" w:ascii="方正仿宋简体" w:hAnsi="宋体" w:eastAsia="方正仿宋简体" w:cs="方正仿宋简体"/>
          <w:b/>
          <w:sz w:val="32"/>
          <w:szCs w:val="32"/>
        </w:rPr>
        <w:t>（二）负责投标人失信行为的核查认定、信息发布以及惩戒处理等工作；</w:t>
      </w:r>
    </w:p>
    <w:p>
      <w:pPr>
        <w:pStyle w:val="25"/>
        <w:tabs>
          <w:tab w:val="left" w:pos="540"/>
        </w:tabs>
        <w:overflowPunct w:val="0"/>
        <w:adjustRightInd w:val="0"/>
        <w:spacing w:beforeLines="0" w:after="0" w:afterLines="0" w:line="560" w:lineRule="atLeast"/>
        <w:ind w:firstLine="634"/>
        <w:rPr>
          <w:rFonts w:ascii="方正仿宋简体" w:hAnsi="宋体" w:eastAsia="方正仿宋简体" w:cs="Times New Roman"/>
          <w:b/>
          <w:sz w:val="32"/>
          <w:szCs w:val="32"/>
        </w:rPr>
      </w:pPr>
      <w:r>
        <w:rPr>
          <w:rFonts w:hint="eastAsia" w:ascii="方正仿宋简体" w:hAnsi="宋体" w:eastAsia="方正仿宋简体" w:cs="Times New Roman"/>
          <w:b/>
          <w:sz w:val="32"/>
          <w:szCs w:val="32"/>
        </w:rPr>
        <w:t>（三）负责投标人失信行为异议管理；</w:t>
      </w:r>
    </w:p>
    <w:p>
      <w:pPr>
        <w:pStyle w:val="25"/>
        <w:overflowPunct w:val="0"/>
        <w:adjustRightInd w:val="0"/>
        <w:spacing w:beforeLines="0" w:after="0" w:afterLines="0" w:line="560" w:lineRule="atLeast"/>
        <w:ind w:firstLine="634"/>
        <w:rPr>
          <w:rFonts w:ascii="方正仿宋简体" w:hAnsi="宋体" w:eastAsia="方正仿宋简体" w:cs="方正仿宋简体"/>
          <w:b/>
          <w:sz w:val="32"/>
          <w:szCs w:val="32"/>
        </w:rPr>
      </w:pPr>
      <w:r>
        <w:rPr>
          <w:rFonts w:hint="eastAsia" w:ascii="方正仿宋简体" w:hAnsi="宋体" w:eastAsia="方正仿宋简体" w:cs="方正仿宋简体"/>
          <w:b/>
          <w:sz w:val="32"/>
          <w:szCs w:val="32"/>
        </w:rPr>
        <w:t>（四）指导、监督和检查投标人失信行为的管理工作；</w:t>
      </w:r>
    </w:p>
    <w:p>
      <w:pPr>
        <w:pStyle w:val="25"/>
        <w:tabs>
          <w:tab w:val="left" w:pos="540"/>
        </w:tabs>
        <w:overflowPunct w:val="0"/>
        <w:adjustRightInd w:val="0"/>
        <w:spacing w:beforeLines="0" w:after="0" w:afterLines="0" w:line="560" w:lineRule="atLeast"/>
        <w:ind w:firstLine="634"/>
        <w:rPr>
          <w:rFonts w:ascii="方正仿宋简体" w:hAnsi="宋体" w:eastAsia="方正仿宋简体" w:cs="Times New Roman"/>
          <w:b/>
          <w:spacing w:val="-6"/>
          <w:sz w:val="32"/>
          <w:szCs w:val="32"/>
        </w:rPr>
      </w:pPr>
      <w:r>
        <w:rPr>
          <w:rFonts w:hint="eastAsia" w:ascii="方正仿宋简体" w:hAnsi="宋体" w:eastAsia="方正仿宋简体" w:cs="Times New Roman"/>
          <w:b/>
          <w:sz w:val="32"/>
          <w:szCs w:val="32"/>
        </w:rPr>
        <w:t>（五）</w:t>
      </w:r>
      <w:r>
        <w:rPr>
          <w:rFonts w:hint="eastAsia" w:ascii="方正仿宋简体" w:hAnsi="宋体" w:eastAsia="方正仿宋简体" w:cs="方正仿宋简体"/>
          <w:b/>
          <w:sz w:val="32"/>
          <w:szCs w:val="32"/>
        </w:rPr>
        <w:t>协</w:t>
      </w:r>
      <w:r>
        <w:rPr>
          <w:rFonts w:hint="eastAsia" w:ascii="方正仿宋简体" w:hAnsi="宋体" w:eastAsia="方正仿宋简体" w:cs="方正仿宋简体"/>
          <w:b/>
          <w:spacing w:val="-6"/>
          <w:sz w:val="32"/>
          <w:szCs w:val="32"/>
        </w:rPr>
        <w:t>调处理投标人失信行为管理工作中的有关事项</w:t>
      </w:r>
      <w:r>
        <w:rPr>
          <w:rFonts w:hint="eastAsia" w:ascii="方正仿宋简体" w:hAnsi="宋体" w:eastAsia="方正仿宋简体" w:cs="Times New Roman"/>
          <w:b/>
          <w:spacing w:val="-6"/>
          <w:sz w:val="32"/>
          <w:szCs w:val="32"/>
        </w:rPr>
        <w:t>。</w:t>
      </w:r>
    </w:p>
    <w:p>
      <w:pPr>
        <w:pStyle w:val="25"/>
        <w:overflowPunct w:val="0"/>
        <w:adjustRightInd w:val="0"/>
        <w:spacing w:beforeLines="0" w:after="0" w:afterLines="0" w:line="560" w:lineRule="atLeast"/>
        <w:ind w:firstLine="634"/>
        <w:rPr>
          <w:rFonts w:ascii="方正仿宋简体" w:hAnsi="宋体" w:eastAsia="方正仿宋简体" w:cs="方正仿宋简体"/>
          <w:b/>
          <w:sz w:val="32"/>
          <w:szCs w:val="32"/>
        </w:rPr>
      </w:pPr>
      <w:r>
        <w:rPr>
          <w:rFonts w:hint="eastAsia" w:ascii="方正黑体简体" w:hAnsi="宋体" w:eastAsia="方正黑体简体" w:cs="方正仿宋简体"/>
          <w:b/>
          <w:sz w:val="32"/>
          <w:szCs w:val="32"/>
        </w:rPr>
        <w:t xml:space="preserve">第八条  </w:t>
      </w:r>
      <w:r>
        <w:rPr>
          <w:rFonts w:hint="eastAsia" w:ascii="方正仿宋简体" w:hAnsi="宋体" w:eastAsia="方正仿宋简体" w:cs="方正仿宋简体"/>
          <w:b/>
          <w:sz w:val="32"/>
          <w:szCs w:val="32"/>
        </w:rPr>
        <w:t>招标人或其委托的招标专业机构负责投标人失信行为的资料收集、初步认定、告知和信息提报。集团公司招标中心负责总部授权实施的集中采购项目投标人失信行为管理。</w:t>
      </w:r>
    </w:p>
    <w:p>
      <w:pPr>
        <w:pStyle w:val="25"/>
        <w:overflowPunct w:val="0"/>
        <w:adjustRightInd w:val="0"/>
        <w:spacing w:beforeLines="0" w:after="0" w:afterLines="0" w:line="560" w:lineRule="atLeast"/>
        <w:ind w:firstLine="634"/>
        <w:rPr>
          <w:rFonts w:hint="eastAsia" w:ascii="方正仿宋简体" w:hAnsi="宋体" w:eastAsia="方正仿宋简体" w:cs="方正仿宋简体"/>
          <w:b/>
          <w:sz w:val="32"/>
          <w:szCs w:val="32"/>
        </w:rPr>
      </w:pPr>
      <w:r>
        <w:rPr>
          <w:rFonts w:hint="eastAsia" w:ascii="方正黑体简体" w:hAnsi="宋体" w:eastAsia="方正黑体简体" w:cs="方正仿宋简体"/>
          <w:b/>
          <w:sz w:val="32"/>
          <w:szCs w:val="32"/>
        </w:rPr>
        <w:t xml:space="preserve">第九条  </w:t>
      </w:r>
      <w:r>
        <w:rPr>
          <w:rFonts w:hint="eastAsia" w:ascii="方正仿宋简体" w:hAnsi="宋体" w:eastAsia="方正仿宋简体" w:cs="方正仿宋简体"/>
          <w:b/>
          <w:sz w:val="32"/>
          <w:szCs w:val="32"/>
        </w:rPr>
        <w:t>评标委员会负责对评审过程中发现的投标人失信行为进行判定，在评标报告中如实记录。</w:t>
      </w:r>
    </w:p>
    <w:p>
      <w:pPr>
        <w:pStyle w:val="25"/>
        <w:overflowPunct w:val="0"/>
        <w:adjustRightInd w:val="0"/>
        <w:spacing w:beforeLines="0" w:after="0" w:afterLines="0" w:line="560" w:lineRule="atLeast"/>
        <w:ind w:firstLine="634"/>
        <w:rPr>
          <w:rFonts w:hint="eastAsia" w:ascii="方正仿宋简体" w:hAnsi="宋体" w:eastAsia="方正仿宋简体" w:cs="方正仿宋简体"/>
          <w:b/>
          <w:sz w:val="32"/>
          <w:szCs w:val="32"/>
        </w:rPr>
      </w:pPr>
    </w:p>
    <w:p>
      <w:pPr>
        <w:pStyle w:val="2"/>
        <w:keepNext w:val="0"/>
        <w:keepLines w:val="0"/>
        <w:tabs>
          <w:tab w:val="left" w:pos="540"/>
          <w:tab w:val="left" w:pos="720"/>
        </w:tabs>
        <w:overflowPunct w:val="0"/>
        <w:adjustRightInd w:val="0"/>
        <w:spacing w:before="0" w:beforeLines="0" w:after="0" w:afterLines="0" w:line="560" w:lineRule="atLeast"/>
        <w:ind w:firstLine="0" w:firstLineChars="0"/>
        <w:jc w:val="center"/>
        <w:rPr>
          <w:rFonts w:ascii="方正小标宋简体" w:eastAsia="方正小标宋简体" w:cs="方正小标宋简体"/>
          <w:bCs w:val="0"/>
          <w:sz w:val="32"/>
          <w:szCs w:val="32"/>
        </w:rPr>
      </w:pPr>
      <w:r>
        <w:rPr>
          <w:rFonts w:hint="eastAsia" w:ascii="方正小标宋简体" w:eastAsia="方正小标宋简体" w:cs="方正小标宋简体"/>
          <w:bCs w:val="0"/>
          <w:sz w:val="32"/>
          <w:szCs w:val="32"/>
        </w:rPr>
        <w:t>第三章  失信行为的分级分类和记分</w:t>
      </w:r>
    </w:p>
    <w:p>
      <w:pPr>
        <w:pStyle w:val="25"/>
        <w:overflowPunct w:val="0"/>
        <w:adjustRightInd w:val="0"/>
        <w:spacing w:beforeLines="0" w:after="0" w:afterLines="0" w:line="560" w:lineRule="atLeast"/>
        <w:ind w:firstLine="634"/>
        <w:rPr>
          <w:rFonts w:hint="eastAsia" w:ascii="方正黑体简体" w:hAnsi="宋体" w:eastAsia="方正黑体简体" w:cs="方正仿宋简体"/>
          <w:b/>
          <w:sz w:val="32"/>
          <w:szCs w:val="32"/>
        </w:rPr>
      </w:pPr>
    </w:p>
    <w:p>
      <w:pPr>
        <w:pStyle w:val="25"/>
        <w:overflowPunct w:val="0"/>
        <w:adjustRightInd w:val="0"/>
        <w:spacing w:beforeLines="0" w:after="0" w:afterLines="0" w:line="560" w:lineRule="atLeast"/>
        <w:ind w:firstLine="634"/>
        <w:rPr>
          <w:rFonts w:ascii="方正仿宋简体" w:hAnsi="宋体" w:eastAsia="方正仿宋简体" w:cs="Times New Roman"/>
          <w:b/>
          <w:sz w:val="32"/>
          <w:szCs w:val="32"/>
        </w:rPr>
      </w:pPr>
      <w:r>
        <w:rPr>
          <w:rFonts w:hint="eastAsia" w:ascii="方正黑体简体" w:hAnsi="宋体" w:eastAsia="方正黑体简体" w:cs="方正仿宋简体"/>
          <w:b/>
          <w:sz w:val="32"/>
          <w:szCs w:val="32"/>
        </w:rPr>
        <w:t xml:space="preserve">第十条  </w:t>
      </w:r>
      <w:r>
        <w:rPr>
          <w:rFonts w:hint="eastAsia" w:ascii="方正仿宋简体" w:hAnsi="宋体" w:eastAsia="方正仿宋简体" w:cs="Times New Roman"/>
          <w:b/>
          <w:sz w:val="32"/>
          <w:szCs w:val="32"/>
        </w:rPr>
        <w:t>股份公司对投标人失信行为实施分级分类和量化积分管理。</w:t>
      </w:r>
    </w:p>
    <w:p>
      <w:pPr>
        <w:pStyle w:val="25"/>
        <w:overflowPunct w:val="0"/>
        <w:adjustRightInd w:val="0"/>
        <w:spacing w:beforeLines="0" w:after="0" w:afterLines="0" w:line="560" w:lineRule="atLeast"/>
        <w:ind w:firstLine="634"/>
        <w:rPr>
          <w:rFonts w:ascii="方正仿宋简体" w:hAnsi="宋体" w:eastAsia="方正仿宋简体" w:cs="Times New Roman"/>
          <w:b/>
          <w:sz w:val="32"/>
          <w:szCs w:val="32"/>
        </w:rPr>
      </w:pPr>
      <w:r>
        <w:rPr>
          <w:rFonts w:hint="eastAsia" w:ascii="方正黑体简体" w:hAnsi="宋体" w:eastAsia="方正黑体简体" w:cs="方正仿宋简体"/>
          <w:b/>
          <w:sz w:val="32"/>
          <w:szCs w:val="32"/>
        </w:rPr>
        <w:t xml:space="preserve">第十一条  </w:t>
      </w:r>
      <w:r>
        <w:rPr>
          <w:rFonts w:hint="eastAsia" w:ascii="方正仿宋简体" w:hAnsi="宋体" w:eastAsia="方正仿宋简体" w:cs="方正仿宋简体"/>
          <w:b/>
          <w:sz w:val="32"/>
          <w:szCs w:val="32"/>
        </w:rPr>
        <w:t>投标人失信行为分为弄虚作假、串通投标、干扰招标、不当异议、中标违约和其他失信行为等六类：</w:t>
      </w:r>
    </w:p>
    <w:p>
      <w:pPr>
        <w:overflowPunct w:val="0"/>
        <w:adjustRightInd w:val="0"/>
        <w:spacing w:beforeLines="0" w:after="0" w:afterLines="0" w:line="560" w:lineRule="atLeast"/>
        <w:ind w:firstLine="634"/>
        <w:rPr>
          <w:rFonts w:ascii="方正仿宋简体" w:hAnsi="宋体" w:eastAsia="方正仿宋简体"/>
          <w:b/>
        </w:rPr>
      </w:pPr>
      <w:r>
        <w:rPr>
          <w:rFonts w:hint="eastAsia" w:ascii="方正仿宋简体" w:hAnsi="宋体" w:eastAsia="方正仿宋简体" w:cs="方正仿宋简体"/>
          <w:b/>
        </w:rPr>
        <w:t>（一）弄虚作假：投标人以他人名义投标，或者提供、使用虚假资料或信息投标</w:t>
      </w:r>
      <w:r>
        <w:rPr>
          <w:rFonts w:hint="eastAsia" w:ascii="方正仿宋简体" w:hAnsi="宋体" w:eastAsia="方正仿宋简体" w:cs="方正仿宋简体"/>
          <w:b/>
          <w:lang w:eastAsia="zh-CN"/>
        </w:rPr>
        <w:t>等</w:t>
      </w:r>
      <w:r>
        <w:rPr>
          <w:rFonts w:hint="eastAsia" w:ascii="方正仿宋简体" w:hAnsi="宋体" w:eastAsia="方正仿宋简体" w:cs="方正仿宋简体"/>
          <w:b/>
        </w:rPr>
        <w:t>行为；</w:t>
      </w:r>
    </w:p>
    <w:p>
      <w:pPr>
        <w:overflowPunct w:val="0"/>
        <w:adjustRightInd w:val="0"/>
        <w:spacing w:beforeLines="0" w:after="0" w:afterLines="0" w:line="560" w:lineRule="atLeast"/>
        <w:ind w:firstLine="634"/>
        <w:rPr>
          <w:rFonts w:ascii="方正仿宋简体" w:hAnsi="宋体" w:eastAsia="方正仿宋简体"/>
          <w:b/>
        </w:rPr>
      </w:pPr>
      <w:r>
        <w:rPr>
          <w:rFonts w:hint="eastAsia" w:ascii="方正仿宋简体" w:hAnsi="宋体" w:eastAsia="方正仿宋简体" w:cs="方正仿宋简体"/>
          <w:b/>
        </w:rPr>
        <w:t>（二）串通投标：投标人与招标人之间或者投标人与投标人之间采用不正当手段，为谋取中标排斥其他投标人或者损害招标人利益等行为；</w:t>
      </w:r>
    </w:p>
    <w:p>
      <w:pPr>
        <w:overflowPunct w:val="0"/>
        <w:adjustRightInd w:val="0"/>
        <w:spacing w:beforeLines="0" w:after="0" w:afterLines="0" w:line="560" w:lineRule="atLeast"/>
        <w:ind w:firstLine="634"/>
        <w:rPr>
          <w:rFonts w:ascii="方正仿宋简体" w:hAnsi="宋体" w:eastAsia="方正仿宋简体"/>
          <w:b/>
        </w:rPr>
      </w:pPr>
      <w:r>
        <w:rPr>
          <w:rFonts w:hint="eastAsia" w:ascii="方正仿宋简体" w:hAnsi="宋体" w:eastAsia="方正仿宋简体" w:cs="方正仿宋简体"/>
          <w:b/>
        </w:rPr>
        <w:t>（三）干扰招标：投标人采用不正当手段扰乱、破坏招标工作秩序等行为；</w:t>
      </w:r>
    </w:p>
    <w:p>
      <w:pPr>
        <w:overflowPunct w:val="0"/>
        <w:adjustRightInd w:val="0"/>
        <w:spacing w:beforeLines="0" w:after="0" w:afterLines="0" w:line="560" w:lineRule="atLeast"/>
        <w:ind w:firstLine="634"/>
        <w:rPr>
          <w:rFonts w:ascii="方正仿宋简体" w:hAnsi="宋体" w:eastAsia="方正仿宋简体"/>
          <w:b/>
        </w:rPr>
      </w:pPr>
      <w:r>
        <w:rPr>
          <w:rFonts w:hint="eastAsia" w:ascii="方正仿宋简体" w:hAnsi="宋体" w:eastAsia="方正仿宋简体" w:cs="方正仿宋简体"/>
          <w:b/>
        </w:rPr>
        <w:t>（四）不当异议：异议提起人缺乏事实依据或采用非法手段获取证据进行异议，或在处理异议过程不配合招标人、招标专业机构、相关部门取证等行为；</w:t>
      </w:r>
    </w:p>
    <w:p>
      <w:pPr>
        <w:overflowPunct w:val="0"/>
        <w:adjustRightInd w:val="0"/>
        <w:spacing w:beforeLines="0" w:after="0" w:afterLines="0" w:line="560" w:lineRule="atLeast"/>
        <w:ind w:firstLine="634"/>
        <w:rPr>
          <w:rFonts w:ascii="方正仿宋简体" w:hAnsi="宋体" w:eastAsia="方正仿宋简体"/>
          <w:b/>
        </w:rPr>
      </w:pPr>
      <w:r>
        <w:rPr>
          <w:rFonts w:hint="eastAsia" w:ascii="方正仿宋简体" w:hAnsi="宋体" w:eastAsia="方正仿宋简体" w:cs="方正仿宋简体"/>
          <w:b/>
        </w:rPr>
        <w:t>（五）中标违约：投标人中标后无正当理由放弃中标或者不与招标人订立合同等行为；</w:t>
      </w:r>
    </w:p>
    <w:p>
      <w:pPr>
        <w:overflowPunct w:val="0"/>
        <w:adjustRightInd w:val="0"/>
        <w:spacing w:beforeLines="0" w:after="0" w:afterLines="0" w:line="560" w:lineRule="atLeast"/>
        <w:ind w:firstLine="634"/>
        <w:rPr>
          <w:rFonts w:ascii="方正仿宋简体" w:hAnsi="宋体" w:eastAsia="方正仿宋简体"/>
          <w:b/>
        </w:rPr>
      </w:pPr>
      <w:r>
        <w:rPr>
          <w:rFonts w:hint="eastAsia" w:ascii="方正仿宋简体" w:hAnsi="宋体" w:eastAsia="方正仿宋简体" w:cs="方正仿宋简体"/>
          <w:b/>
        </w:rPr>
        <w:t>（六）其他失信行为：违反国家相关法律法规和股份公司有关规定的其他不诚信行为。</w:t>
      </w:r>
    </w:p>
    <w:p>
      <w:pPr>
        <w:overflowPunct w:val="0"/>
        <w:adjustRightInd w:val="0"/>
        <w:spacing w:beforeLines="0" w:after="0" w:afterLines="0" w:line="560" w:lineRule="atLeast"/>
        <w:ind w:firstLine="634"/>
        <w:rPr>
          <w:rFonts w:ascii="方正仿宋简体" w:hAnsi="宋体" w:eastAsia="方正仿宋简体"/>
          <w:b/>
        </w:rPr>
      </w:pPr>
      <w:r>
        <w:rPr>
          <w:rFonts w:hint="eastAsia" w:ascii="方正黑体简体" w:hAnsi="宋体" w:eastAsia="方正黑体简体" w:cs="方正仿宋简体"/>
          <w:b/>
        </w:rPr>
        <w:t xml:space="preserve">第十二条  </w:t>
      </w:r>
      <w:r>
        <w:rPr>
          <w:rFonts w:hint="eastAsia" w:ascii="方正仿宋简体" w:eastAsia="方正仿宋简体" w:cs="方正仿宋简体"/>
          <w:b/>
        </w:rPr>
        <w:t>根据投标人失信行为的性质和情节轻重，从轻到重将失信行为分为</w:t>
      </w:r>
      <w:r>
        <w:rPr>
          <w:rFonts w:hint="eastAsia" w:ascii="方正仿宋简体" w:hAnsi="宋体" w:eastAsia="方正仿宋简体"/>
          <w:b/>
        </w:rPr>
        <w:t>较轻、</w:t>
      </w:r>
      <w:r>
        <w:rPr>
          <w:rFonts w:hint="eastAsia" w:ascii="方正仿宋简体" w:eastAsia="方正仿宋简体" w:cs="方正仿宋简体"/>
          <w:b/>
        </w:rPr>
        <w:t>一般、较重、严重和特别严重五个等级。</w:t>
      </w:r>
    </w:p>
    <w:p>
      <w:pPr>
        <w:overflowPunct w:val="0"/>
        <w:adjustRightInd w:val="0"/>
        <w:spacing w:beforeLines="0" w:after="0" w:afterLines="0" w:line="560" w:lineRule="atLeast"/>
        <w:ind w:firstLine="634"/>
        <w:rPr>
          <w:rFonts w:ascii="方正仿宋简体" w:hAnsi="宋体" w:eastAsia="方正仿宋简体"/>
          <w:b/>
        </w:rPr>
      </w:pPr>
      <w:r>
        <w:rPr>
          <w:rFonts w:hint="eastAsia" w:ascii="方正黑体简体" w:hAnsi="宋体" w:eastAsia="方正黑体简体" w:cs="方正仿宋简体"/>
          <w:b/>
        </w:rPr>
        <w:t xml:space="preserve">第十三条  </w:t>
      </w:r>
      <w:r>
        <w:rPr>
          <w:rFonts w:hint="eastAsia" w:ascii="方正仿宋简体" w:hAnsi="宋体" w:eastAsia="方正仿宋简体" w:cs="方正仿宋简体"/>
          <w:b/>
        </w:rPr>
        <w:t>投标人失信行为量化记分包括基础分和加重分两部分。</w:t>
      </w:r>
    </w:p>
    <w:p>
      <w:pPr>
        <w:overflowPunct w:val="0"/>
        <w:adjustRightInd w:val="0"/>
        <w:spacing w:beforeLines="0" w:after="0" w:afterLines="0" w:line="560" w:lineRule="atLeast"/>
        <w:ind w:firstLine="634"/>
        <w:rPr>
          <w:rFonts w:ascii="方正仿宋简体" w:hAnsi="宋体" w:eastAsia="方正仿宋简体" w:cs="方正仿宋简体"/>
          <w:b/>
        </w:rPr>
      </w:pPr>
      <w:r>
        <w:rPr>
          <w:rFonts w:hint="eastAsia" w:ascii="方正仿宋简体" w:hAnsi="宋体" w:eastAsia="方正仿宋简体" w:cs="方正仿宋简体"/>
          <w:b/>
        </w:rPr>
        <w:t>基础分为失信行为等级对应的固定分值，从轻到重分别为</w:t>
      </w:r>
      <w:r>
        <w:rPr>
          <w:rFonts w:ascii="方正仿宋简体" w:hAnsi="宋体" w:eastAsia="方正仿宋简体"/>
          <w:b/>
        </w:rPr>
        <w:t>1</w:t>
      </w:r>
      <w:r>
        <w:rPr>
          <w:rFonts w:hint="eastAsia" w:ascii="方正仿宋简体" w:hAnsi="宋体" w:eastAsia="方正仿宋简体"/>
          <w:b/>
        </w:rPr>
        <w:t>分、</w:t>
      </w:r>
      <w:r>
        <w:rPr>
          <w:rFonts w:ascii="方正仿宋简体" w:hAnsi="宋体" w:eastAsia="方正仿宋简体"/>
          <w:b/>
        </w:rPr>
        <w:t>2</w:t>
      </w:r>
      <w:r>
        <w:rPr>
          <w:rFonts w:hint="eastAsia" w:ascii="方正仿宋简体" w:hAnsi="宋体" w:eastAsia="方正仿宋简体"/>
          <w:b/>
        </w:rPr>
        <w:t>分、</w:t>
      </w:r>
      <w:r>
        <w:rPr>
          <w:rFonts w:ascii="方正仿宋简体" w:hAnsi="宋体" w:eastAsia="方正仿宋简体"/>
          <w:b/>
        </w:rPr>
        <w:t>4</w:t>
      </w:r>
      <w:r>
        <w:rPr>
          <w:rFonts w:hint="eastAsia" w:ascii="方正仿宋简体" w:hAnsi="宋体" w:eastAsia="方正仿宋简体"/>
          <w:b/>
        </w:rPr>
        <w:t>分、</w:t>
      </w:r>
      <w:r>
        <w:rPr>
          <w:rFonts w:ascii="方正仿宋简体" w:hAnsi="宋体" w:eastAsia="方正仿宋简体"/>
          <w:b/>
        </w:rPr>
        <w:t>8</w:t>
      </w:r>
      <w:r>
        <w:rPr>
          <w:rFonts w:hint="eastAsia" w:ascii="方正仿宋简体" w:hAnsi="宋体" w:eastAsia="方正仿宋简体"/>
          <w:b/>
        </w:rPr>
        <w:t>分、</w:t>
      </w:r>
      <w:r>
        <w:rPr>
          <w:rFonts w:ascii="方正仿宋简体" w:hAnsi="宋体" w:eastAsia="方正仿宋简体"/>
          <w:b/>
        </w:rPr>
        <w:t>10</w:t>
      </w:r>
      <w:r>
        <w:rPr>
          <w:rFonts w:hint="eastAsia" w:ascii="方正仿宋简体" w:hAnsi="宋体" w:eastAsia="方正仿宋简体"/>
          <w:b/>
        </w:rPr>
        <w:t>分；</w:t>
      </w:r>
      <w:r>
        <w:rPr>
          <w:rFonts w:hint="eastAsia" w:ascii="方正仿宋简体" w:hAnsi="宋体" w:eastAsia="方正仿宋简体" w:cs="方正仿宋简体"/>
          <w:b/>
        </w:rPr>
        <w:t>加重分是在基础分上视失信行为造成后果的严重程度增加的分值，分值区间</w:t>
      </w:r>
      <w:r>
        <w:rPr>
          <w:rFonts w:ascii="方正仿宋简体" w:hAnsi="宋体" w:eastAsia="方正仿宋简体" w:cs="方正仿宋简体"/>
          <w:b/>
        </w:rPr>
        <w:t>0</w:t>
      </w:r>
      <w:r>
        <w:rPr>
          <w:rFonts w:hint="eastAsia" w:ascii="方正仿宋简体" w:hAnsi="宋体" w:eastAsia="方正仿宋简体" w:cs="方正仿宋简体"/>
          <w:b/>
        </w:rPr>
        <w:t>～</w:t>
      </w:r>
      <w:r>
        <w:rPr>
          <w:rFonts w:ascii="方正仿宋简体" w:hAnsi="宋体" w:eastAsia="方正仿宋简体" w:cs="方正仿宋简体"/>
          <w:b/>
        </w:rPr>
        <w:t>2</w:t>
      </w:r>
      <w:r>
        <w:rPr>
          <w:rFonts w:hint="eastAsia" w:ascii="方正仿宋简体" w:hAnsi="宋体" w:eastAsia="方正仿宋简体" w:cs="方正仿宋简体"/>
          <w:b/>
        </w:rPr>
        <w:t>分（以</w:t>
      </w:r>
      <w:r>
        <w:rPr>
          <w:rFonts w:ascii="方正仿宋简体" w:hAnsi="宋体" w:eastAsia="方正仿宋简体" w:cs="方正仿宋简体"/>
          <w:b/>
        </w:rPr>
        <w:t>0.5</w:t>
      </w:r>
      <w:r>
        <w:rPr>
          <w:rFonts w:hint="eastAsia" w:ascii="方正仿宋简体" w:hAnsi="宋体" w:eastAsia="方正仿宋简体" w:cs="方正仿宋简体"/>
          <w:b/>
        </w:rPr>
        <w:t>的倍数记分）。</w:t>
      </w:r>
    </w:p>
    <w:p>
      <w:pPr>
        <w:overflowPunct w:val="0"/>
        <w:adjustRightInd w:val="0"/>
        <w:spacing w:beforeLines="0" w:after="0" w:afterLines="0" w:line="560" w:lineRule="atLeast"/>
        <w:ind w:firstLine="634"/>
        <w:rPr>
          <w:rFonts w:ascii="方正仿宋简体" w:hAnsi="宋体" w:eastAsia="方正仿宋简体"/>
          <w:b/>
        </w:rPr>
      </w:pPr>
      <w:r>
        <w:rPr>
          <w:rFonts w:hint="eastAsia" w:ascii="方正仿宋简体" w:hAnsi="宋体" w:eastAsia="方正仿宋简体" w:cs="方正仿宋简体"/>
          <w:b/>
        </w:rPr>
        <w:t>基础分和加重分之和为该次失信行为的失信记分，</w:t>
      </w:r>
      <w:r>
        <w:rPr>
          <w:rFonts w:hint="eastAsia" w:ascii="方正仿宋简体" w:hAnsi="宋体" w:eastAsia="方正仿宋简体"/>
          <w:b/>
        </w:rPr>
        <w:t>有效期三年（投标人失信行为分类、分级与记分标准详见附件1）。</w:t>
      </w:r>
    </w:p>
    <w:p>
      <w:pPr>
        <w:overflowPunct w:val="0"/>
        <w:adjustRightInd w:val="0"/>
        <w:spacing w:beforeLines="0" w:after="0" w:afterLines="0" w:line="560" w:lineRule="atLeast"/>
        <w:ind w:firstLine="634"/>
        <w:rPr>
          <w:rFonts w:ascii="方正仿宋简体" w:hAnsi="宋体" w:eastAsia="方正仿宋简体"/>
          <w:b/>
        </w:rPr>
      </w:pPr>
      <w:r>
        <w:rPr>
          <w:rFonts w:hint="eastAsia" w:ascii="方正黑体简体" w:hAnsi="宋体" w:eastAsia="方正黑体简体" w:cs="方正仿宋简体"/>
          <w:b/>
        </w:rPr>
        <w:t xml:space="preserve">第十四条  </w:t>
      </w:r>
      <w:r>
        <w:rPr>
          <w:rFonts w:hint="eastAsia" w:ascii="方正仿宋简体" w:hAnsi="宋体" w:eastAsia="方正仿宋简体"/>
          <w:b/>
        </w:rPr>
        <w:t>同一投标人记分有效期内的所有失信记分累加，为该投标人的失信积分。</w:t>
      </w:r>
    </w:p>
    <w:p>
      <w:pPr>
        <w:overflowPunct w:val="0"/>
        <w:adjustRightInd w:val="0"/>
        <w:spacing w:beforeLines="0" w:after="0" w:afterLines="0" w:line="560" w:lineRule="atLeast"/>
        <w:ind w:firstLine="634"/>
        <w:rPr>
          <w:rFonts w:ascii="方正仿宋简体" w:hAnsi="宋体" w:eastAsia="方正仿宋简体"/>
          <w:b/>
        </w:rPr>
      </w:pPr>
      <w:r>
        <w:rPr>
          <w:rFonts w:hint="eastAsia" w:ascii="方正仿宋简体" w:hAnsi="宋体" w:eastAsia="方正仿宋简体"/>
          <w:b/>
        </w:rPr>
        <w:t>同一次失信行为涉及多个投标人的，应对涉及的多个投标人分别记分。</w:t>
      </w:r>
    </w:p>
    <w:p>
      <w:pPr>
        <w:overflowPunct w:val="0"/>
        <w:adjustRightInd w:val="0"/>
        <w:spacing w:beforeLines="0" w:after="0" w:afterLines="0" w:line="560" w:lineRule="atLeast"/>
        <w:ind w:firstLine="634"/>
        <w:rPr>
          <w:rFonts w:ascii="方正仿宋简体" w:hAnsi="宋体" w:eastAsia="方正仿宋简体"/>
          <w:b/>
        </w:rPr>
      </w:pPr>
      <w:r>
        <w:rPr>
          <w:rFonts w:hint="eastAsia" w:ascii="方正仿宋简体" w:hAnsi="宋体" w:eastAsia="方正仿宋简体"/>
          <w:b/>
        </w:rPr>
        <w:t>同一投标人在同一项目招投标过程中，发生的不同失信行为分别记分，不同标段（包）的失信行为分别记分。</w:t>
      </w:r>
    </w:p>
    <w:p>
      <w:pPr>
        <w:overflowPunct w:val="0"/>
        <w:adjustRightInd w:val="0"/>
        <w:spacing w:beforeLines="0" w:after="0" w:afterLines="0" w:line="560" w:lineRule="atLeast"/>
        <w:ind w:firstLine="634"/>
        <w:rPr>
          <w:rFonts w:hint="eastAsia" w:ascii="方正仿宋简体" w:hAnsi="宋体" w:eastAsia="方正仿宋简体"/>
          <w:b/>
        </w:rPr>
      </w:pPr>
      <w:r>
        <w:rPr>
          <w:rFonts w:hint="eastAsia" w:ascii="方正仿宋简体" w:hAnsi="宋体" w:eastAsia="方正仿宋简体"/>
          <w:b/>
        </w:rPr>
        <w:t>同一投标人在失信行为记分有效期内再次出现同一种失信行为，基础分应双倍记分。</w:t>
      </w:r>
    </w:p>
    <w:p>
      <w:pPr>
        <w:overflowPunct w:val="0"/>
        <w:adjustRightInd w:val="0"/>
        <w:spacing w:beforeLines="0" w:after="0" w:afterLines="0" w:line="560" w:lineRule="atLeast"/>
        <w:ind w:firstLine="634"/>
        <w:rPr>
          <w:rFonts w:hint="eastAsia" w:ascii="方正仿宋简体" w:hAnsi="宋体" w:eastAsia="方正仿宋简体"/>
          <w:b/>
        </w:rPr>
      </w:pPr>
    </w:p>
    <w:p>
      <w:pPr>
        <w:pStyle w:val="2"/>
        <w:keepNext w:val="0"/>
        <w:keepLines w:val="0"/>
        <w:tabs>
          <w:tab w:val="left" w:pos="540"/>
          <w:tab w:val="left" w:pos="720"/>
        </w:tabs>
        <w:overflowPunct w:val="0"/>
        <w:adjustRightInd w:val="0"/>
        <w:spacing w:before="0" w:beforeLines="0" w:after="0" w:afterLines="0" w:line="560" w:lineRule="atLeast"/>
        <w:ind w:firstLine="0" w:firstLineChars="0"/>
        <w:jc w:val="center"/>
        <w:rPr>
          <w:rFonts w:ascii="方正小标宋简体" w:eastAsia="方正小标宋简体" w:cs="方正小标宋简体"/>
          <w:bCs w:val="0"/>
          <w:sz w:val="32"/>
          <w:szCs w:val="32"/>
        </w:rPr>
      </w:pPr>
      <w:r>
        <w:rPr>
          <w:rFonts w:hint="eastAsia" w:ascii="方正小标宋简体" w:eastAsia="方正小标宋简体" w:cs="方正小标宋简体"/>
          <w:bCs w:val="0"/>
          <w:sz w:val="32"/>
          <w:szCs w:val="32"/>
        </w:rPr>
        <w:t>第四章  失信行为的认定与信息发布</w:t>
      </w:r>
    </w:p>
    <w:p>
      <w:pPr>
        <w:overflowPunct w:val="0"/>
        <w:adjustRightInd w:val="0"/>
        <w:spacing w:beforeLines="0" w:after="0" w:afterLines="0" w:line="560" w:lineRule="atLeast"/>
        <w:ind w:firstLine="634"/>
        <w:rPr>
          <w:rFonts w:hint="eastAsia" w:ascii="方正黑体简体" w:hAnsi="宋体" w:eastAsia="方正黑体简体" w:cs="方正仿宋简体"/>
          <w:b/>
        </w:rPr>
      </w:pPr>
    </w:p>
    <w:p>
      <w:pPr>
        <w:overflowPunct w:val="0"/>
        <w:adjustRightInd w:val="0"/>
        <w:spacing w:beforeLines="0" w:after="0" w:afterLines="0" w:line="560" w:lineRule="atLeast"/>
        <w:ind w:firstLine="634"/>
        <w:rPr>
          <w:rFonts w:ascii="方正仿宋简体" w:eastAsia="方正仿宋简体"/>
          <w:b/>
        </w:rPr>
      </w:pPr>
      <w:r>
        <w:rPr>
          <w:rFonts w:hint="eastAsia" w:ascii="方正黑体简体" w:hAnsi="宋体" w:eastAsia="方正黑体简体" w:cs="方正仿宋简体"/>
          <w:b/>
        </w:rPr>
        <w:t xml:space="preserve">第十五条  </w:t>
      </w:r>
      <w:r>
        <w:rPr>
          <w:rFonts w:hint="eastAsia" w:ascii="方正仿宋简体" w:eastAsia="方正仿宋简体" w:cs="方正仿宋简体"/>
          <w:b/>
          <w:color w:val="000000"/>
        </w:rPr>
        <w:t>招标人或其委托的招标专业机构应在发现投标人失信行为后的</w:t>
      </w:r>
      <w:r>
        <w:rPr>
          <w:rFonts w:ascii="方正仿宋简体" w:eastAsia="方正仿宋简体" w:cs="方正仿宋简体"/>
          <w:b/>
          <w:color w:val="000000"/>
        </w:rPr>
        <w:t>3</w:t>
      </w:r>
      <w:r>
        <w:rPr>
          <w:rFonts w:hint="eastAsia" w:ascii="方正仿宋简体" w:eastAsia="方正仿宋简体" w:cs="方正仿宋简体"/>
          <w:b/>
          <w:color w:val="000000"/>
        </w:rPr>
        <w:t>个工作日内，启动失信行为认定与信息发布程序。</w:t>
      </w:r>
    </w:p>
    <w:p>
      <w:pPr>
        <w:overflowPunct w:val="0"/>
        <w:adjustRightInd w:val="0"/>
        <w:spacing w:beforeLines="0" w:after="0" w:afterLines="0" w:line="560" w:lineRule="atLeast"/>
        <w:ind w:firstLine="634"/>
        <w:rPr>
          <w:rFonts w:ascii="方正仿宋简体" w:eastAsia="方正仿宋简体"/>
          <w:b/>
        </w:rPr>
      </w:pPr>
      <w:r>
        <w:rPr>
          <w:rFonts w:hint="eastAsia" w:ascii="方正黑体简体" w:hAnsi="宋体" w:eastAsia="方正黑体简体" w:cs="方正仿宋简体"/>
          <w:b/>
        </w:rPr>
        <w:t xml:space="preserve">第十六条  </w:t>
      </w:r>
      <w:r>
        <w:rPr>
          <w:rFonts w:hint="eastAsia" w:ascii="方正仿宋简体" w:eastAsia="方正仿宋简体" w:cs="方正仿宋简体"/>
          <w:b/>
        </w:rPr>
        <w:t>投标人失信行为信息发布按以下程序进行：</w:t>
      </w:r>
    </w:p>
    <w:p>
      <w:pPr>
        <w:pStyle w:val="27"/>
        <w:widowControl w:val="0"/>
        <w:shd w:val="clear" w:color="auto" w:fill="FFFFFF"/>
        <w:overflowPunct w:val="0"/>
        <w:adjustRightInd w:val="0"/>
        <w:spacing w:before="0" w:beforeLines="0" w:beforeAutospacing="0" w:after="0" w:afterLines="0" w:afterAutospacing="0" w:line="560" w:lineRule="atLeast"/>
        <w:ind w:firstLine="634"/>
        <w:jc w:val="both"/>
        <w:rPr>
          <w:rFonts w:ascii="方正仿宋简体" w:eastAsia="方正仿宋简体" w:cs="Times New Roman"/>
          <w:b/>
          <w:kern w:val="2"/>
          <w:sz w:val="32"/>
          <w:szCs w:val="32"/>
        </w:rPr>
      </w:pPr>
      <w:r>
        <w:rPr>
          <w:rFonts w:hint="eastAsia" w:ascii="方正仿宋简体" w:eastAsia="方正仿宋简体" w:cs="方正仿宋简体"/>
          <w:b/>
          <w:kern w:val="2"/>
          <w:sz w:val="32"/>
          <w:szCs w:val="32"/>
        </w:rPr>
        <w:t>（一）失信行为证据及相关资料收集整理；</w:t>
      </w:r>
    </w:p>
    <w:p>
      <w:pPr>
        <w:pStyle w:val="27"/>
        <w:widowControl w:val="0"/>
        <w:shd w:val="clear" w:color="auto" w:fill="FFFFFF"/>
        <w:overflowPunct w:val="0"/>
        <w:adjustRightInd w:val="0"/>
        <w:spacing w:before="0" w:beforeLines="0" w:beforeAutospacing="0" w:after="0" w:afterLines="0" w:afterAutospacing="0" w:line="560" w:lineRule="atLeast"/>
        <w:ind w:firstLine="634"/>
        <w:jc w:val="both"/>
        <w:rPr>
          <w:rFonts w:ascii="方正仿宋简体" w:eastAsia="方正仿宋简体" w:cs="Times New Roman"/>
          <w:b/>
          <w:kern w:val="2"/>
          <w:sz w:val="32"/>
          <w:szCs w:val="32"/>
        </w:rPr>
      </w:pPr>
      <w:r>
        <w:rPr>
          <w:rFonts w:hint="eastAsia" w:ascii="方正仿宋简体" w:eastAsia="方正仿宋简体" w:cs="方正仿宋简体"/>
          <w:b/>
          <w:kern w:val="2"/>
          <w:sz w:val="32"/>
          <w:szCs w:val="32"/>
        </w:rPr>
        <w:t>（二）失信行为初步认定并记分；</w:t>
      </w:r>
    </w:p>
    <w:p>
      <w:pPr>
        <w:pStyle w:val="27"/>
        <w:widowControl w:val="0"/>
        <w:shd w:val="clear" w:color="auto" w:fill="FFFFFF"/>
        <w:overflowPunct w:val="0"/>
        <w:adjustRightInd w:val="0"/>
        <w:spacing w:before="0" w:beforeLines="0" w:beforeAutospacing="0" w:after="0" w:afterLines="0" w:afterAutospacing="0" w:line="560" w:lineRule="atLeast"/>
        <w:ind w:firstLine="634"/>
        <w:jc w:val="both"/>
        <w:rPr>
          <w:rFonts w:ascii="方正仿宋简体" w:eastAsia="方正仿宋简体" w:cs="Times New Roman"/>
          <w:b/>
          <w:kern w:val="2"/>
          <w:sz w:val="32"/>
          <w:szCs w:val="32"/>
        </w:rPr>
      </w:pPr>
      <w:r>
        <w:rPr>
          <w:rFonts w:hint="eastAsia" w:ascii="方正仿宋简体" w:eastAsia="方正仿宋简体" w:cs="方正仿宋简体"/>
          <w:b/>
          <w:kern w:val="2"/>
          <w:sz w:val="32"/>
          <w:szCs w:val="32"/>
        </w:rPr>
        <w:t>（三）失信行为告知（告知函见附件2）；</w:t>
      </w:r>
    </w:p>
    <w:p>
      <w:pPr>
        <w:pStyle w:val="27"/>
        <w:widowControl w:val="0"/>
        <w:shd w:val="clear" w:color="auto" w:fill="FFFFFF"/>
        <w:overflowPunct w:val="0"/>
        <w:adjustRightInd w:val="0"/>
        <w:spacing w:before="0" w:beforeLines="0" w:beforeAutospacing="0" w:after="0" w:afterLines="0" w:afterAutospacing="0" w:line="560" w:lineRule="atLeast"/>
        <w:ind w:firstLine="634"/>
        <w:jc w:val="both"/>
        <w:rPr>
          <w:rFonts w:ascii="方正仿宋简体" w:eastAsia="方正仿宋简体" w:cs="方正仿宋简体"/>
          <w:b/>
          <w:kern w:val="2"/>
          <w:sz w:val="32"/>
          <w:szCs w:val="32"/>
        </w:rPr>
      </w:pPr>
      <w:r>
        <w:rPr>
          <w:rFonts w:hint="eastAsia" w:ascii="方正仿宋简体" w:eastAsia="方正仿宋简体" w:cs="方正仿宋简体"/>
          <w:b/>
          <w:kern w:val="2"/>
          <w:sz w:val="32"/>
          <w:szCs w:val="32"/>
        </w:rPr>
        <w:t>（四）异议处理（如有）；</w:t>
      </w:r>
    </w:p>
    <w:p>
      <w:pPr>
        <w:pStyle w:val="27"/>
        <w:widowControl w:val="0"/>
        <w:shd w:val="clear" w:color="auto" w:fill="FFFFFF"/>
        <w:overflowPunct w:val="0"/>
        <w:adjustRightInd w:val="0"/>
        <w:spacing w:before="0" w:beforeLines="0" w:beforeAutospacing="0" w:after="0" w:afterLines="0" w:afterAutospacing="0" w:line="560" w:lineRule="atLeast"/>
        <w:ind w:firstLine="634"/>
        <w:jc w:val="both"/>
        <w:rPr>
          <w:rFonts w:ascii="方正仿宋简体" w:eastAsia="方正仿宋简体" w:cs="方正仿宋简体"/>
          <w:b/>
          <w:kern w:val="2"/>
          <w:sz w:val="32"/>
          <w:szCs w:val="32"/>
        </w:rPr>
      </w:pPr>
      <w:r>
        <w:rPr>
          <w:rFonts w:hint="eastAsia" w:ascii="方正仿宋简体" w:eastAsia="方正仿宋简体" w:cs="方正仿宋简体"/>
          <w:b/>
          <w:kern w:val="2"/>
          <w:sz w:val="32"/>
          <w:szCs w:val="32"/>
        </w:rPr>
        <w:t>（五）失信行为发布信息提报；</w:t>
      </w:r>
    </w:p>
    <w:p>
      <w:pPr>
        <w:pStyle w:val="27"/>
        <w:widowControl w:val="0"/>
        <w:shd w:val="clear" w:color="auto" w:fill="FFFFFF"/>
        <w:overflowPunct w:val="0"/>
        <w:adjustRightInd w:val="0"/>
        <w:spacing w:before="0" w:beforeLines="0" w:beforeAutospacing="0" w:after="0" w:afterLines="0" w:afterAutospacing="0" w:line="560" w:lineRule="atLeast"/>
        <w:ind w:firstLine="634"/>
        <w:jc w:val="both"/>
        <w:rPr>
          <w:rFonts w:ascii="方正仿宋简体" w:eastAsia="方正仿宋简体" w:cs="Times New Roman"/>
          <w:b/>
          <w:kern w:val="2"/>
          <w:sz w:val="32"/>
          <w:szCs w:val="32"/>
        </w:rPr>
      </w:pPr>
      <w:r>
        <w:rPr>
          <w:rFonts w:hint="eastAsia" w:ascii="方正仿宋简体" w:eastAsia="方正仿宋简体" w:cs="方正仿宋简体"/>
          <w:b/>
          <w:kern w:val="2"/>
          <w:sz w:val="32"/>
          <w:szCs w:val="32"/>
        </w:rPr>
        <w:t>（六）失信行为核查认定（审核表见附件3）；</w:t>
      </w:r>
    </w:p>
    <w:p>
      <w:pPr>
        <w:pStyle w:val="27"/>
        <w:widowControl w:val="0"/>
        <w:shd w:val="clear" w:color="auto" w:fill="FFFFFF"/>
        <w:overflowPunct w:val="0"/>
        <w:adjustRightInd w:val="0"/>
        <w:spacing w:before="0" w:beforeLines="0" w:beforeAutospacing="0" w:after="0" w:afterLines="0" w:afterAutospacing="0" w:line="560" w:lineRule="atLeast"/>
        <w:ind w:firstLine="634"/>
        <w:jc w:val="both"/>
        <w:rPr>
          <w:rFonts w:ascii="方正仿宋简体" w:eastAsia="方正仿宋简体" w:cs="Times New Roman"/>
          <w:b/>
          <w:kern w:val="2"/>
          <w:sz w:val="32"/>
          <w:szCs w:val="32"/>
        </w:rPr>
      </w:pPr>
      <w:r>
        <w:rPr>
          <w:rFonts w:hint="eastAsia" w:ascii="方正仿宋简体" w:eastAsia="方正仿宋简体" w:cs="方正仿宋简体"/>
          <w:b/>
          <w:kern w:val="2"/>
          <w:sz w:val="32"/>
          <w:szCs w:val="32"/>
        </w:rPr>
        <w:t>（七）信息发布。</w:t>
      </w:r>
    </w:p>
    <w:p>
      <w:pPr>
        <w:overflowPunct w:val="0"/>
        <w:adjustRightInd w:val="0"/>
        <w:spacing w:beforeLines="0" w:after="0" w:afterLines="0" w:line="560" w:lineRule="atLeast"/>
        <w:ind w:firstLine="634"/>
        <w:rPr>
          <w:rFonts w:ascii="方正仿宋简体" w:eastAsia="方正仿宋简体" w:cs="方正仿宋简体"/>
          <w:b/>
        </w:rPr>
      </w:pPr>
      <w:r>
        <w:rPr>
          <w:rFonts w:hint="eastAsia" w:ascii="方正黑体简体" w:hAnsi="宋体" w:eastAsia="方正黑体简体" w:cs="方正仿宋简体"/>
          <w:b/>
        </w:rPr>
        <w:t xml:space="preserve">第十七条  </w:t>
      </w:r>
      <w:r>
        <w:rPr>
          <w:rFonts w:hint="eastAsia" w:ascii="方正仿宋简体" w:eastAsia="方正仿宋简体" w:cs="方正仿宋简体"/>
          <w:b/>
        </w:rPr>
        <w:t>投标人对失信行为认定有异议的，应当自收到失信行为告知函之日起</w:t>
      </w:r>
      <w:r>
        <w:rPr>
          <w:rFonts w:ascii="方正仿宋简体" w:eastAsia="方正仿宋简体" w:cs="方正仿宋简体"/>
          <w:b/>
        </w:rPr>
        <w:t>3</w:t>
      </w:r>
      <w:r>
        <w:rPr>
          <w:rFonts w:hint="eastAsia" w:ascii="方正仿宋简体" w:eastAsia="方正仿宋简体" w:cs="方正仿宋简体"/>
          <w:b/>
        </w:rPr>
        <w:t>个工作日内，向失信行为认定部门书面提出</w:t>
      </w:r>
      <w:r>
        <w:rPr>
          <w:rFonts w:hint="eastAsia" w:ascii="方正仿宋简体" w:eastAsia="方正仿宋简体" w:cs="方正仿宋简体"/>
          <w:b/>
          <w:color w:val="000000" w:themeColor="text1"/>
          <w14:textFill>
            <w14:solidFill>
              <w14:schemeClr w14:val="tx1"/>
            </w14:solidFill>
          </w14:textFill>
        </w:rPr>
        <w:t>复</w:t>
      </w:r>
      <w:r>
        <w:rPr>
          <w:rFonts w:hint="eastAsia" w:ascii="方正仿宋简体" w:eastAsia="方正仿宋简体" w:cs="方正仿宋简体"/>
          <w:b/>
        </w:rPr>
        <w:t>议申请。</w:t>
      </w:r>
      <w:r>
        <w:rPr>
          <w:rFonts w:hint="eastAsia" w:ascii="方正仿宋简体" w:eastAsia="方正仿宋简体"/>
          <w:b/>
        </w:rPr>
        <w:t>失信行为认定部门应在收到申请的</w:t>
      </w:r>
      <w:r>
        <w:rPr>
          <w:rFonts w:ascii="方正仿宋简体" w:eastAsia="方正仿宋简体"/>
          <w:b/>
        </w:rPr>
        <w:t>3</w:t>
      </w:r>
      <w:r>
        <w:rPr>
          <w:rFonts w:hint="eastAsia" w:ascii="方正仿宋简体" w:eastAsia="方正仿宋简体"/>
          <w:b/>
        </w:rPr>
        <w:t>个工作日内，启动处理程序。</w:t>
      </w:r>
    </w:p>
    <w:p>
      <w:pPr>
        <w:overflowPunct w:val="0"/>
        <w:adjustRightInd w:val="0"/>
        <w:spacing w:beforeLines="0" w:after="0" w:afterLines="0" w:line="560" w:lineRule="atLeast"/>
        <w:ind w:firstLine="634"/>
        <w:rPr>
          <w:rFonts w:ascii="方正黑体简体" w:hAnsi="宋体" w:eastAsia="方正黑体简体" w:cs="方正仿宋简体"/>
          <w:b/>
        </w:rPr>
      </w:pPr>
      <w:r>
        <w:rPr>
          <w:rFonts w:hint="eastAsia" w:ascii="方正黑体简体" w:hAnsi="宋体" w:eastAsia="方正黑体简体" w:cs="方正仿宋简体"/>
          <w:b/>
        </w:rPr>
        <w:t xml:space="preserve">第十八条  </w:t>
      </w:r>
      <w:r>
        <w:rPr>
          <w:rFonts w:hint="eastAsia" w:ascii="方正仿宋简体" w:eastAsia="方正仿宋简体" w:cs="方正仿宋简体"/>
          <w:b/>
        </w:rPr>
        <w:t>投标人失信行为信息在中国石油招标投标网发布。</w:t>
      </w:r>
    </w:p>
    <w:p>
      <w:pPr>
        <w:overflowPunct w:val="0"/>
        <w:adjustRightInd w:val="0"/>
        <w:spacing w:beforeLines="0" w:after="0" w:afterLines="0" w:line="560" w:lineRule="atLeast"/>
        <w:ind w:firstLine="634"/>
        <w:rPr>
          <w:rFonts w:ascii="方正仿宋简体" w:eastAsia="方正仿宋简体" w:cs="方正仿宋简体"/>
          <w:b/>
        </w:rPr>
      </w:pPr>
      <w:r>
        <w:rPr>
          <w:rFonts w:hint="eastAsia" w:ascii="方正黑体简体" w:hAnsi="宋体" w:eastAsia="方正黑体简体" w:cs="方正仿宋简体"/>
          <w:b/>
        </w:rPr>
        <w:t xml:space="preserve">第十九条  </w:t>
      </w:r>
      <w:r>
        <w:rPr>
          <w:rFonts w:hint="eastAsia" w:ascii="方正仿宋简体" w:eastAsia="方正仿宋简体" w:cs="方正仿宋简体"/>
          <w:b/>
        </w:rPr>
        <w:t>投标人失信行为信息发布内容包括：项目名称、失信行为人名称、统一社会信用代码，法定代表人（或负责人）姓名及身份证号码、委托代理人姓名及身份证号码，失信行为具体描述、适用的失信行为代码、失信记分、失信记分有效期、发布人等（信息发布记录表见附件4）。</w:t>
      </w:r>
    </w:p>
    <w:p>
      <w:pPr>
        <w:overflowPunct w:val="0"/>
        <w:adjustRightInd w:val="0"/>
        <w:spacing w:beforeLines="0" w:after="0" w:afterLines="0" w:line="560" w:lineRule="atLeast"/>
        <w:ind w:firstLine="634"/>
        <w:rPr>
          <w:rFonts w:hint="eastAsia" w:ascii="方正仿宋简体" w:eastAsia="方正仿宋简体"/>
          <w:b/>
        </w:rPr>
      </w:pPr>
      <w:r>
        <w:rPr>
          <w:rFonts w:hint="eastAsia" w:ascii="方正黑体简体" w:hAnsi="宋体" w:eastAsia="方正黑体简体" w:cs="方正仿宋简体"/>
          <w:b/>
        </w:rPr>
        <w:t xml:space="preserve">第二十条  </w:t>
      </w:r>
      <w:r>
        <w:rPr>
          <w:rFonts w:hint="eastAsia" w:ascii="方正仿宋简体" w:eastAsia="方正仿宋简体"/>
          <w:b/>
        </w:rPr>
        <w:t>失信行为惩戒有效期自发布之日起算，有效期满该项失信行为记录自动失效。</w:t>
      </w:r>
    </w:p>
    <w:p>
      <w:pPr>
        <w:overflowPunct w:val="0"/>
        <w:adjustRightInd w:val="0"/>
        <w:spacing w:beforeLines="0" w:after="0" w:afterLines="0" w:line="560" w:lineRule="atLeast"/>
        <w:ind w:firstLine="634"/>
        <w:rPr>
          <w:rFonts w:hint="eastAsia" w:ascii="方正仿宋简体" w:eastAsia="方正仿宋简体"/>
          <w:b/>
        </w:rPr>
      </w:pPr>
    </w:p>
    <w:p>
      <w:pPr>
        <w:pStyle w:val="2"/>
        <w:keepNext w:val="0"/>
        <w:keepLines w:val="0"/>
        <w:tabs>
          <w:tab w:val="left" w:pos="540"/>
          <w:tab w:val="left" w:pos="720"/>
        </w:tabs>
        <w:overflowPunct w:val="0"/>
        <w:adjustRightInd w:val="0"/>
        <w:spacing w:before="0" w:beforeLines="0" w:after="0" w:afterLines="0" w:line="560" w:lineRule="atLeast"/>
        <w:ind w:firstLine="0" w:firstLineChars="0"/>
        <w:jc w:val="center"/>
        <w:rPr>
          <w:rFonts w:ascii="方正小标宋简体" w:eastAsia="方正小标宋简体" w:cs="方正小标宋简体"/>
          <w:bCs w:val="0"/>
          <w:sz w:val="32"/>
          <w:szCs w:val="32"/>
        </w:rPr>
      </w:pPr>
      <w:r>
        <w:rPr>
          <w:rFonts w:hint="eastAsia" w:ascii="方正小标宋简体" w:eastAsia="方正小标宋简体" w:cs="方正小标宋简体"/>
          <w:bCs w:val="0"/>
          <w:sz w:val="32"/>
          <w:szCs w:val="32"/>
        </w:rPr>
        <w:t>第五章  失信行为惩戒</w:t>
      </w:r>
    </w:p>
    <w:p>
      <w:pPr>
        <w:overflowPunct w:val="0"/>
        <w:adjustRightInd w:val="0"/>
        <w:spacing w:beforeLines="0" w:after="0" w:afterLines="0" w:line="560" w:lineRule="atLeast"/>
        <w:ind w:firstLine="634"/>
        <w:rPr>
          <w:rFonts w:hint="eastAsia" w:ascii="方正黑体简体" w:hAnsi="宋体" w:eastAsia="方正黑体简体" w:cs="方正仿宋简体"/>
          <w:b/>
        </w:rPr>
      </w:pPr>
    </w:p>
    <w:p>
      <w:pPr>
        <w:overflowPunct w:val="0"/>
        <w:adjustRightInd w:val="0"/>
        <w:spacing w:beforeLines="0" w:after="0" w:afterLines="0" w:line="560" w:lineRule="atLeast"/>
        <w:ind w:firstLine="634"/>
        <w:rPr>
          <w:rFonts w:ascii="方正仿宋简体" w:eastAsia="方正仿宋简体" w:cs="方正仿宋简体"/>
          <w:b/>
        </w:rPr>
      </w:pPr>
      <w:r>
        <w:rPr>
          <w:rFonts w:hint="eastAsia" w:ascii="方正黑体简体" w:hAnsi="宋体" w:eastAsia="方正黑体简体" w:cs="方正仿宋简体"/>
          <w:b/>
        </w:rPr>
        <w:t xml:space="preserve">第二十一条  </w:t>
      </w:r>
      <w:r>
        <w:rPr>
          <w:rFonts w:hint="eastAsia" w:ascii="方正仿宋简体" w:eastAsia="方正仿宋简体"/>
          <w:b/>
        </w:rPr>
        <w:t>股份公司</w:t>
      </w:r>
      <w:r>
        <w:rPr>
          <w:rFonts w:hint="eastAsia" w:ascii="方正仿宋简体" w:eastAsia="方正仿宋简体"/>
          <w:b/>
          <w:spacing w:val="-6"/>
        </w:rPr>
        <w:t>对失信行为人的惩戒以失信积分为基础，</w:t>
      </w:r>
      <w:r>
        <w:rPr>
          <w:rFonts w:hint="eastAsia" w:ascii="方正仿宋简体" w:eastAsia="方正仿宋简体" w:cs="方正仿宋简体"/>
          <w:b/>
        </w:rPr>
        <w:t>惩戒措施包括失信加价或扣分、暂停投标资格、取消投标资格。</w:t>
      </w:r>
    </w:p>
    <w:p>
      <w:pPr>
        <w:overflowPunct w:val="0"/>
        <w:adjustRightInd w:val="0"/>
        <w:spacing w:beforeLines="0" w:after="0" w:afterLines="0" w:line="560" w:lineRule="atLeast"/>
        <w:ind w:firstLine="634"/>
        <w:rPr>
          <w:rFonts w:ascii="方正仿宋简体" w:eastAsia="方正仿宋简体" w:cs="方正仿宋简体"/>
          <w:b/>
        </w:rPr>
      </w:pPr>
      <w:r>
        <w:rPr>
          <w:rFonts w:hint="eastAsia" w:ascii="方正仿宋简体" w:eastAsia="方正仿宋简体" w:cs="方正仿宋简体"/>
          <w:b/>
        </w:rPr>
        <w:t>失信行为人积分</w:t>
      </w:r>
      <w:r>
        <w:rPr>
          <w:rFonts w:hint="eastAsia" w:ascii="方正仿宋简体" w:eastAsia="方正仿宋简体" w:cs="方正仿宋简体"/>
          <w:b/>
          <w:spacing w:val="-2"/>
        </w:rPr>
        <w:t>以开标当日中国石油招标投标网发布的失信行</w:t>
      </w:r>
      <w:r>
        <w:rPr>
          <w:rFonts w:hint="eastAsia" w:ascii="方正仿宋简体" w:eastAsia="方正仿宋简体" w:cs="方正仿宋简体"/>
          <w:b/>
        </w:rPr>
        <w:t>为信息为准。</w:t>
      </w:r>
    </w:p>
    <w:p>
      <w:pPr>
        <w:overflowPunct w:val="0"/>
        <w:adjustRightInd w:val="0"/>
        <w:spacing w:beforeLines="0" w:after="0" w:afterLines="0" w:line="560" w:lineRule="atLeast"/>
        <w:ind w:firstLine="634"/>
        <w:rPr>
          <w:rFonts w:ascii="方正仿宋简体" w:eastAsia="方正仿宋简体"/>
          <w:b/>
          <w:spacing w:val="6"/>
        </w:rPr>
      </w:pPr>
      <w:r>
        <w:rPr>
          <w:rFonts w:hint="eastAsia" w:ascii="方正黑体简体" w:hAnsi="宋体" w:eastAsia="方正黑体简体" w:cs="方正仿宋简体"/>
          <w:b/>
        </w:rPr>
        <w:t xml:space="preserve">第二十二条  </w:t>
      </w:r>
      <w:r>
        <w:rPr>
          <w:rFonts w:hint="eastAsia" w:ascii="方正仿宋简体" w:eastAsia="方正仿宋简体"/>
          <w:b/>
        </w:rPr>
        <w:t>招</w:t>
      </w:r>
      <w:r>
        <w:rPr>
          <w:rFonts w:hint="eastAsia" w:ascii="方正仿宋简体" w:eastAsia="方正仿宋简体"/>
          <w:b/>
          <w:spacing w:val="6"/>
        </w:rPr>
        <w:t>标人或招标专业机构应</w:t>
      </w:r>
      <w:r>
        <w:rPr>
          <w:rFonts w:hint="eastAsia" w:ascii="方正仿宋简体" w:eastAsia="方正仿宋简体" w:cs="方正仿宋简体"/>
          <w:b/>
          <w:spacing w:val="6"/>
        </w:rPr>
        <w:t>在资格预审文件或招标文件中设置相应条款，对投标的失信行为人予以惩戒。</w:t>
      </w:r>
    </w:p>
    <w:p>
      <w:pPr>
        <w:overflowPunct w:val="0"/>
        <w:adjustRightInd w:val="0"/>
        <w:spacing w:beforeLines="0" w:after="0" w:afterLines="0" w:line="560" w:lineRule="atLeast"/>
        <w:ind w:firstLine="634" w:firstLineChars="0"/>
        <w:jc w:val="left"/>
        <w:rPr>
          <w:rFonts w:ascii="方正仿宋简体" w:hAnsi="宋体" w:eastAsia="方正仿宋简体"/>
          <w:b/>
          <w:position w:val="-24"/>
        </w:rPr>
      </w:pPr>
      <w:r>
        <w:rPr>
          <w:rFonts w:hint="eastAsia" w:ascii="方正黑体简体" w:hAnsi="宋体" w:eastAsia="方正黑体简体" w:cs="方正仿宋简体"/>
          <w:b/>
        </w:rPr>
        <w:t xml:space="preserve">第二十三条  </w:t>
      </w:r>
      <w:r>
        <w:rPr>
          <w:rFonts w:hint="eastAsia" w:ascii="方正仿宋简体" w:eastAsia="方正仿宋简体"/>
          <w:b/>
        </w:rPr>
        <w:t>失信</w:t>
      </w:r>
      <w:r>
        <w:rPr>
          <w:rFonts w:hint="eastAsia" w:ascii="方正仿宋简体" w:eastAsia="方正仿宋简体" w:cs="方正仿宋简体"/>
          <w:b/>
        </w:rPr>
        <w:t>加价</w:t>
      </w:r>
      <w:r>
        <w:rPr>
          <w:rFonts w:hint="eastAsia" w:ascii="方正仿宋简体" w:eastAsia="方正仿宋简体"/>
          <w:b/>
        </w:rPr>
        <w:t>。</w:t>
      </w:r>
      <w:r>
        <w:rPr>
          <w:rFonts w:hint="eastAsia" w:ascii="方正仿宋简体" w:eastAsia="方正仿宋简体" w:cs="方正仿宋简体"/>
          <w:b/>
        </w:rPr>
        <w:t>评标办法采用经评审的最低投标价</w:t>
      </w:r>
      <w:r>
        <w:rPr>
          <w:rFonts w:hint="eastAsia" w:ascii="方正仿宋简体" w:eastAsia="方正仿宋简体" w:cs="方正仿宋简体"/>
          <w:b/>
          <w:spacing w:val="-6"/>
        </w:rPr>
        <w:t>法时，将失信积分折算为失信加价，计入评标价格。计算公式如下：</w:t>
      </w:r>
    </w:p>
    <w:p>
      <w:pPr>
        <w:keepNext w:val="0"/>
        <w:keepLines w:val="0"/>
        <w:pageBreakBefore w:val="0"/>
        <w:widowControl w:val="0"/>
        <w:kinsoku/>
        <w:wordWrap/>
        <w:overflowPunct w:val="0"/>
        <w:topLinePunct w:val="0"/>
        <w:autoSpaceDE/>
        <w:autoSpaceDN/>
        <w:bidi w:val="0"/>
        <w:adjustRightInd w:val="0"/>
        <w:snapToGrid/>
        <w:spacing w:beforeLines="0" w:after="0" w:afterLines="0" w:line="560" w:lineRule="atLeast"/>
        <w:ind w:firstLine="0" w:firstLineChars="0"/>
        <w:textAlignment w:val="auto"/>
      </w:pPr>
      <m:oMathPara>
        <m:oMath>
          <m:r>
            <m:rPr>
              <m:sty m:val="b"/>
            </m:rPr>
            <w:rPr>
              <w:rFonts w:hint="eastAsia" w:ascii="DejaVu Math TeX Gyre" w:hAnsi="DejaVu Math TeX Gyre" w:eastAsia="方正仿宋简体" w:cs="方正仿宋简体"/>
              <w:kern w:val="2"/>
              <w:sz w:val="28"/>
              <w:szCs w:val="28"/>
              <w:lang w:val="en-US" w:eastAsia="zh-CN" w:bidi="ar-SA"/>
            </w:rPr>
            <m:t>失信</m:t>
          </m:r>
          <m:r>
            <m:rPr>
              <m:sty m:val="b"/>
            </m:rPr>
            <w:rPr>
              <w:rFonts w:hint="default" w:ascii="DejaVu Math TeX Gyre" w:hAnsi="DejaVu Math TeX Gyre" w:eastAsia="方正仿宋简体" w:cs="方正仿宋简体"/>
              <w:kern w:val="2"/>
              <w:sz w:val="28"/>
              <w:szCs w:val="28"/>
              <w:lang w:val="en-US" w:eastAsia="zh-CN" w:bidi="ar-SA"/>
            </w:rPr>
            <m:t>加价</m:t>
          </m:r>
          <m:r>
            <m:rPr>
              <m:sty m:val="b"/>
            </m:rPr>
            <w:rPr>
              <w:rFonts w:hint="eastAsia" w:ascii="DejaVu Math TeX Gyre" w:hAnsi="DejaVu Math TeX Gyre" w:eastAsia="方正仿宋简体" w:cs="方正仿宋简体"/>
              <w:kern w:val="2"/>
              <w:sz w:val="28"/>
              <w:szCs w:val="28"/>
              <w:lang w:val="en-US" w:eastAsia="zh-CN" w:bidi="ar-SA"/>
            </w:rPr>
            <m:t>=</m:t>
          </m:r>
          <m:r>
            <m:rPr>
              <m:sty m:val="b"/>
            </m:rPr>
            <w:rPr>
              <w:rFonts w:hint="default" w:ascii="DejaVu Math TeX Gyre" w:hAnsi="DejaVu Math TeX Gyre" w:eastAsia="方正仿宋简体" w:cs="方正仿宋简体"/>
              <w:kern w:val="2"/>
              <w:sz w:val="28"/>
              <w:szCs w:val="28"/>
              <w:lang w:val="en-US" w:eastAsia="zh-CN" w:bidi="ar-SA"/>
            </w:rPr>
            <m:t>投标报价</m:t>
          </m:r>
          <m:r>
            <m:rPr>
              <m:sty m:val="b"/>
            </m:rPr>
            <w:rPr>
              <w:rFonts w:hint="eastAsia" w:ascii="DejaVu Math TeX Gyre" w:hAnsi="DejaVu Math TeX Gyre" w:eastAsia="方正仿宋简体" w:cs="方正仿宋简体"/>
              <w:kern w:val="2"/>
              <w:sz w:val="28"/>
              <w:szCs w:val="28"/>
              <w:lang w:val="en-US" w:bidi="ar-SA"/>
            </w:rPr>
            <m:t>×</m:t>
          </m:r>
          <m:f>
            <m:fPr>
              <m:ctrlPr>
                <w:rPr>
                  <w:rFonts w:hint="eastAsia" w:ascii="Cambria Math" w:hAnsi="Cambria Math" w:eastAsia="方正仿宋简体" w:cs="方正仿宋简体"/>
                  <w:b/>
                  <w:bCs w:val="0"/>
                  <w:kern w:val="2"/>
                  <w:sz w:val="28"/>
                  <w:szCs w:val="28"/>
                  <w:lang w:val="en-US" w:bidi="ar-SA"/>
                </w:rPr>
              </m:ctrlPr>
            </m:fPr>
            <m:num>
              <m:r>
                <m:rPr>
                  <m:sty m:val="b"/>
                </m:rPr>
                <w:rPr>
                  <w:rFonts w:hint="eastAsia" w:ascii="Cambria Math" w:hAnsi="Cambria Math" w:eastAsia="方正仿宋简体" w:cs="方正仿宋简体"/>
                  <w:kern w:val="2"/>
                  <w:sz w:val="28"/>
                  <w:szCs w:val="28"/>
                  <w:lang w:val="en-US" w:eastAsia="zh-CN" w:bidi="ar-SA"/>
                </w:rPr>
                <m:t>失信积分</m:t>
              </m:r>
              <m:ctrlPr>
                <w:rPr>
                  <w:rFonts w:hint="eastAsia" w:ascii="Cambria Math" w:hAnsi="Cambria Math" w:eastAsia="方正仿宋简体" w:cs="方正仿宋简体"/>
                  <w:b/>
                  <w:bCs w:val="0"/>
                  <w:kern w:val="2"/>
                  <w:sz w:val="28"/>
                  <w:szCs w:val="28"/>
                  <w:lang w:val="en-US" w:bidi="ar-SA"/>
                </w:rPr>
              </m:ctrlPr>
            </m:num>
            <m:den>
              <m:r>
                <m:rPr>
                  <m:sty m:val="p"/>
                </m:rPr>
                <w:rPr>
                  <w:rFonts w:hint="default" w:ascii="Cambria Math" w:hAnsi="Cambria Math" w:eastAsia="方正仿宋简体" w:cs="方正仿宋简体"/>
                  <w:kern w:val="2"/>
                  <w:sz w:val="32"/>
                  <w:szCs w:val="32"/>
                  <w:lang w:val="en-US" w:eastAsia="zh-CN" w:bidi="ar-SA"/>
                </w:rPr>
                <m:t>100</m:t>
              </m:r>
              <m:ctrlPr>
                <w:rPr>
                  <w:rFonts w:hint="eastAsia" w:ascii="Cambria Math" w:hAnsi="Cambria Math" w:eastAsia="方正仿宋简体" w:cs="方正仿宋简体"/>
                  <w:b/>
                  <w:bCs w:val="0"/>
                  <w:kern w:val="2"/>
                  <w:sz w:val="28"/>
                  <w:szCs w:val="28"/>
                  <w:lang w:val="en-US" w:bidi="ar-SA"/>
                </w:rPr>
              </m:ctrlPr>
            </m:den>
          </m:f>
        </m:oMath>
      </m:oMathPara>
    </w:p>
    <w:p>
      <w:pPr>
        <w:overflowPunct w:val="0"/>
        <w:adjustRightInd w:val="0"/>
        <w:spacing w:beforeLines="0" w:after="0" w:afterLines="0" w:line="560" w:lineRule="atLeast"/>
        <w:ind w:firstLine="634"/>
        <w:rPr>
          <w:rFonts w:hint="eastAsia" w:ascii="方正仿宋简体" w:eastAsia="方正仿宋简体"/>
          <w:b/>
        </w:rPr>
      </w:pPr>
      <w:r>
        <w:rPr>
          <w:rFonts w:hint="eastAsia" w:ascii="方正黑体简体" w:eastAsia="方正黑体简体" w:cs="方正仿宋简体"/>
          <w:b/>
        </w:rPr>
        <w:t xml:space="preserve">第二十四条  </w:t>
      </w:r>
      <w:r>
        <w:rPr>
          <w:rFonts w:hint="eastAsia" w:ascii="方正仿宋简体" w:eastAsia="方正仿宋简体" w:cs="方正仿宋简体"/>
          <w:b/>
        </w:rPr>
        <w:t>失信扣分。评标办法采用综合评估法时，将失信积分折算为失信扣分计入商务分值，失信分权重不低于</w:t>
      </w:r>
      <w:r>
        <w:rPr>
          <w:rFonts w:hint="eastAsia" w:ascii="方正仿宋简体" w:eastAsia="方正仿宋简体" w:cs="方正仿宋简体"/>
          <w:b/>
          <w:color w:val="000000" w:themeColor="text1"/>
          <w14:textFill>
            <w14:solidFill>
              <w14:schemeClr w14:val="tx1"/>
            </w14:solidFill>
          </w14:textFill>
        </w:rPr>
        <w:t>商务分值的</w:t>
      </w:r>
      <w:r>
        <w:rPr>
          <w:rFonts w:hint="eastAsia" w:ascii="方正仿宋简体" w:eastAsia="方正仿宋简体" w:cs="方正仿宋简体"/>
          <w:b/>
        </w:rPr>
        <w:t>10%。</w:t>
      </w:r>
      <w:r>
        <w:rPr>
          <w:rFonts w:hint="eastAsia" w:ascii="方正仿宋简体" w:eastAsia="方正仿宋简体"/>
          <w:b/>
        </w:rPr>
        <w:t>计算公式如下：</w:t>
      </w:r>
    </w:p>
    <w:p>
      <w:pPr>
        <w:overflowPunct w:val="0"/>
        <w:adjustRightInd w:val="0"/>
        <w:spacing w:beforeLines="0" w:after="0" w:afterLines="0" w:line="560" w:lineRule="atLeast"/>
        <w:ind w:firstLine="634"/>
        <w:rPr>
          <w:rFonts w:ascii="方正仿宋简体" w:eastAsia="方正仿宋简体" w:cs="Times New Roman"/>
          <w:b/>
          <w:bCs w:val="0"/>
          <w:kern w:val="2"/>
          <w:sz w:val="28"/>
          <w:szCs w:val="28"/>
        </w:rPr>
      </w:pPr>
      <m:oMathPara>
        <m:oMath>
          <m:r>
            <m:rPr>
              <m:sty m:val="b"/>
            </m:rPr>
            <w:rPr>
              <w:rFonts w:hint="eastAsia" w:ascii="DejaVu Math TeX Gyre" w:hAnsi="DejaVu Math TeX Gyre" w:eastAsia="方正仿宋简体" w:cs="方正仿宋简体"/>
              <w:kern w:val="2"/>
              <w:sz w:val="28"/>
              <w:szCs w:val="28"/>
              <w:lang w:val="en-US" w:eastAsia="zh-CN" w:bidi="ar-SA"/>
            </w:rPr>
            <m:t>失信扣分=商务分值（不含报价分值）</m:t>
          </m:r>
          <m:r>
            <m:rPr>
              <m:sty m:val="b"/>
            </m:rPr>
            <w:rPr>
              <w:rFonts w:hint="eastAsia" w:ascii="DejaVu Math TeX Gyre" w:hAnsi="DejaVu Math TeX Gyre" w:eastAsia="方正仿宋简体" w:cs="方正仿宋简体"/>
              <w:kern w:val="2"/>
              <w:sz w:val="28"/>
              <w:szCs w:val="28"/>
              <w:lang w:val="en-US" w:bidi="ar-SA"/>
            </w:rPr>
            <m:t>×</m:t>
          </m:r>
          <m:r>
            <m:rPr>
              <m:sty m:val="b"/>
            </m:rPr>
            <w:rPr>
              <w:rFonts w:hint="eastAsia" w:ascii="DejaVu Math TeX Gyre" w:hAnsi="DejaVu Math TeX Gyre" w:eastAsia="方正仿宋简体" w:cs="方正仿宋简体"/>
              <w:kern w:val="2"/>
              <w:sz w:val="28"/>
              <w:szCs w:val="28"/>
              <w:lang w:val="en-US" w:eastAsia="zh-CN" w:bidi="ar-SA"/>
            </w:rPr>
            <m:t>失信权重</m:t>
          </m:r>
          <m:r>
            <m:rPr>
              <m:sty m:val="b"/>
            </m:rPr>
            <w:rPr>
              <w:rFonts w:hint="eastAsia" w:ascii="DejaVu Math TeX Gyre" w:hAnsi="DejaVu Math TeX Gyre" w:eastAsia="方正仿宋简体" w:cs="方正仿宋简体"/>
              <w:kern w:val="2"/>
              <w:sz w:val="28"/>
              <w:szCs w:val="28"/>
              <w:lang w:val="en-US" w:bidi="ar-SA"/>
            </w:rPr>
            <m:t>×</m:t>
          </m:r>
          <m:f>
            <m:fPr>
              <m:ctrlPr>
                <w:rPr>
                  <w:rFonts w:hint="eastAsia" w:ascii="DejaVu Math TeX Gyre" w:hAnsi="DejaVu Math TeX Gyre" w:eastAsia="方正仿宋简体" w:cs="方正仿宋简体"/>
                  <w:b/>
                  <w:bCs w:val="0"/>
                  <w:kern w:val="2"/>
                  <w:sz w:val="28"/>
                  <w:szCs w:val="28"/>
                  <w:lang w:val="en-US" w:bidi="ar-SA"/>
                </w:rPr>
              </m:ctrlPr>
            </m:fPr>
            <m:num>
              <m:r>
                <m:rPr>
                  <m:sty m:val="b"/>
                </m:rPr>
                <w:rPr>
                  <w:rFonts w:hint="eastAsia" w:ascii="DejaVu Math TeX Gyre" w:hAnsi="DejaVu Math TeX Gyre" w:eastAsia="方正仿宋简体" w:cs="方正仿宋简体"/>
                  <w:kern w:val="2"/>
                  <w:sz w:val="28"/>
                  <w:szCs w:val="28"/>
                  <w:lang w:val="en-US" w:eastAsia="zh-CN" w:bidi="ar-SA"/>
                </w:rPr>
                <m:t>失信积分</m:t>
              </m:r>
              <m:ctrlPr>
                <w:rPr>
                  <w:rFonts w:hint="eastAsia" w:ascii="DejaVu Math TeX Gyre" w:hAnsi="DejaVu Math TeX Gyre" w:eastAsia="方正仿宋简体" w:cs="方正仿宋简体"/>
                  <w:b/>
                  <w:bCs w:val="0"/>
                  <w:kern w:val="2"/>
                  <w:sz w:val="28"/>
                  <w:szCs w:val="28"/>
                  <w:lang w:val="en-US" w:bidi="ar-SA"/>
                </w:rPr>
              </m:ctrlPr>
            </m:num>
            <m:den>
              <m:r>
                <m:rPr>
                  <m:sty m:val="p"/>
                </m:rPr>
                <w:rPr>
                  <w:rFonts w:hint="default" w:ascii="Cambria Math" w:hAnsi="Cambria Math" w:eastAsia="方正仿宋简体" w:cs="方正仿宋简体"/>
                  <w:kern w:val="2"/>
                  <w:sz w:val="32"/>
                  <w:szCs w:val="32"/>
                  <w:lang w:val="en-US" w:eastAsia="zh-CN" w:bidi="ar-SA"/>
                </w:rPr>
                <m:t>10</m:t>
              </m:r>
              <m:ctrlPr>
                <w:rPr>
                  <w:rFonts w:hint="eastAsia" w:ascii="DejaVu Math TeX Gyre" w:hAnsi="DejaVu Math TeX Gyre" w:eastAsia="方正仿宋简体" w:cs="方正仿宋简体"/>
                  <w:b/>
                  <w:bCs w:val="0"/>
                  <w:kern w:val="2"/>
                  <w:sz w:val="28"/>
                  <w:szCs w:val="28"/>
                  <w:lang w:val="en-US" w:bidi="ar-SA"/>
                </w:rPr>
              </m:ctrlPr>
            </m:den>
          </m:f>
        </m:oMath>
      </m:oMathPara>
    </w:p>
    <w:p>
      <w:pPr>
        <w:overflowPunct w:val="0"/>
        <w:adjustRightInd w:val="0"/>
        <w:spacing w:beforeLines="0" w:after="0" w:afterLines="0" w:line="560" w:lineRule="atLeast"/>
        <w:ind w:firstLine="634"/>
        <w:rPr>
          <w:rFonts w:ascii="方正仿宋简体" w:eastAsia="方正仿宋简体" w:cs="方正仿宋简体"/>
          <w:b/>
        </w:rPr>
      </w:pPr>
      <w:r>
        <w:rPr>
          <w:rFonts w:hint="eastAsia" w:ascii="方正黑体简体" w:eastAsia="方正黑体简体" w:cs="方正仿宋简体"/>
          <w:b/>
        </w:rPr>
        <w:t xml:space="preserve">第二十五条  </w:t>
      </w:r>
      <w:r>
        <w:rPr>
          <w:rFonts w:hint="eastAsia" w:ascii="方正仿宋简体" w:eastAsia="方正仿宋简体" w:cs="方正仿宋简体"/>
          <w:b/>
        </w:rPr>
        <w:t>暂停投标资格。失信积分达到8分时，暂停失信行为人投标资格半年；失信积分达到9分时，暂停失信行为人投标资格一年；失信积分达到10分时，暂停失信行为人投标资格两年。</w:t>
      </w:r>
    </w:p>
    <w:p>
      <w:pPr>
        <w:overflowPunct w:val="0"/>
        <w:adjustRightInd w:val="0"/>
        <w:spacing w:beforeLines="0" w:after="0" w:afterLines="0" w:line="560" w:lineRule="atLeast"/>
        <w:ind w:firstLine="634"/>
        <w:rPr>
          <w:rFonts w:ascii="方正仿宋简体" w:eastAsia="方正仿宋简体" w:cs="方正仿宋简体"/>
          <w:b/>
          <w:spacing w:val="6"/>
        </w:rPr>
      </w:pPr>
      <w:r>
        <w:rPr>
          <w:rFonts w:hint="eastAsia" w:ascii="方正仿宋简体" w:eastAsia="方正仿宋简体" w:cs="方正仿宋简体"/>
          <w:b/>
        </w:rPr>
        <w:t>暂</w:t>
      </w:r>
      <w:r>
        <w:rPr>
          <w:rFonts w:hint="eastAsia" w:ascii="方正仿宋简体" w:eastAsia="方正仿宋简体" w:cs="方正仿宋简体"/>
          <w:b/>
          <w:spacing w:val="6"/>
        </w:rPr>
        <w:t>停期满后恢复投标资格，有效期内的失信记分继续执行。</w:t>
      </w:r>
    </w:p>
    <w:p>
      <w:pPr>
        <w:overflowPunct w:val="0"/>
        <w:adjustRightInd w:val="0"/>
        <w:spacing w:beforeLines="0" w:after="0" w:afterLines="0" w:line="560" w:lineRule="atLeast"/>
        <w:ind w:firstLine="634"/>
        <w:rPr>
          <w:rFonts w:ascii="方正仿宋简体" w:eastAsia="方正仿宋简体" w:cs="方正仿宋简体"/>
          <w:b/>
        </w:rPr>
      </w:pPr>
      <w:r>
        <w:rPr>
          <w:rFonts w:hint="eastAsia" w:ascii="方正黑体简体" w:eastAsia="方正黑体简体" w:cs="方正仿宋简体"/>
          <w:b/>
        </w:rPr>
        <w:t xml:space="preserve">第二十六条  </w:t>
      </w:r>
      <w:r>
        <w:rPr>
          <w:rFonts w:hint="eastAsia" w:ascii="方正仿宋简体" w:eastAsia="方正仿宋简体" w:cs="方正仿宋简体"/>
          <w:b/>
        </w:rPr>
        <w:t>取消投标资格。失信积分超过10分或在暂停期间再次发生失信行为的，取消投标资格三年。列入</w:t>
      </w:r>
      <w:r>
        <w:rPr>
          <w:rFonts w:hint="eastAsia" w:ascii="方正仿宋简体" w:eastAsia="方正仿宋简体" w:cs="方正仿宋简体"/>
          <w:b/>
          <w:lang w:eastAsia="zh-CN"/>
        </w:rPr>
        <w:t>股份</w:t>
      </w:r>
      <w:r>
        <w:rPr>
          <w:rFonts w:hint="eastAsia" w:ascii="方正仿宋简体" w:eastAsia="方正仿宋简体" w:cs="方正仿宋简体"/>
          <w:b/>
        </w:rPr>
        <w:t>公司“三商”黑名单的，取消投标资格。</w:t>
      </w:r>
    </w:p>
    <w:p>
      <w:pPr>
        <w:overflowPunct w:val="0"/>
        <w:adjustRightInd w:val="0"/>
        <w:spacing w:beforeLines="0" w:after="0" w:afterLines="0" w:line="560" w:lineRule="atLeast"/>
        <w:ind w:firstLine="634"/>
        <w:rPr>
          <w:rFonts w:hint="eastAsia" w:ascii="方正仿宋简体" w:eastAsia="方正仿宋简体"/>
          <w:b/>
        </w:rPr>
      </w:pPr>
      <w:r>
        <w:rPr>
          <w:rFonts w:hint="eastAsia" w:ascii="方正黑体简体" w:eastAsia="方正黑体简体" w:cs="方正仿宋简体"/>
          <w:b/>
        </w:rPr>
        <w:t>第二十七条</w:t>
      </w:r>
      <w:r>
        <w:rPr>
          <w:rFonts w:hint="eastAsia" w:ascii="方正仿宋简体" w:eastAsia="方正仿宋简体" w:cs="方正仿宋简体"/>
          <w:b/>
        </w:rPr>
        <w:t xml:space="preserve">  </w:t>
      </w:r>
      <w:r>
        <w:rPr>
          <w:rFonts w:hint="eastAsia" w:ascii="方正仿宋简体" w:eastAsia="方正仿宋简体"/>
          <w:b/>
        </w:rPr>
        <w:t>受到惩戒的法定代表人（或负责人）、委托代理人等自然人在其他法人或组织任法定代表人（或负责人）、委托代理人的，该法人或组织参与所属单位投标应受到同等惩戒。</w:t>
      </w:r>
    </w:p>
    <w:p>
      <w:pPr>
        <w:overflowPunct w:val="0"/>
        <w:adjustRightInd w:val="0"/>
        <w:spacing w:beforeLines="0" w:after="0" w:afterLines="0" w:line="560" w:lineRule="atLeast"/>
        <w:ind w:firstLine="634"/>
        <w:rPr>
          <w:rFonts w:hint="eastAsia" w:ascii="方正仿宋简体" w:eastAsia="方正仿宋简体"/>
          <w:b/>
        </w:rPr>
      </w:pPr>
    </w:p>
    <w:p>
      <w:pPr>
        <w:pStyle w:val="2"/>
        <w:keepNext w:val="0"/>
        <w:keepLines w:val="0"/>
        <w:tabs>
          <w:tab w:val="left" w:pos="540"/>
          <w:tab w:val="left" w:pos="720"/>
        </w:tabs>
        <w:overflowPunct w:val="0"/>
        <w:adjustRightInd w:val="0"/>
        <w:spacing w:before="0" w:beforeLines="0" w:after="0" w:afterLines="0" w:line="560" w:lineRule="atLeast"/>
        <w:ind w:firstLine="0" w:firstLineChars="0"/>
        <w:jc w:val="center"/>
        <w:rPr>
          <w:rFonts w:ascii="方正小标宋简体" w:eastAsia="方正小标宋简体" w:cs="方正小标宋简体"/>
          <w:bCs w:val="0"/>
          <w:sz w:val="32"/>
          <w:szCs w:val="32"/>
        </w:rPr>
      </w:pPr>
      <w:r>
        <w:rPr>
          <w:rFonts w:hint="eastAsia" w:ascii="方正小标宋简体" w:eastAsia="方正小标宋简体" w:cs="方正小标宋简体"/>
          <w:bCs w:val="0"/>
          <w:sz w:val="32"/>
          <w:szCs w:val="32"/>
        </w:rPr>
        <w:t>第六章  监督与责任</w:t>
      </w:r>
    </w:p>
    <w:p>
      <w:pPr>
        <w:overflowPunct w:val="0"/>
        <w:adjustRightInd w:val="0"/>
        <w:spacing w:beforeLines="0" w:after="0" w:afterLines="0" w:line="560" w:lineRule="atLeast"/>
        <w:ind w:firstLine="634"/>
        <w:rPr>
          <w:rFonts w:hint="eastAsia" w:ascii="方正黑体简体" w:eastAsia="方正黑体简体" w:cs="方正仿宋简体"/>
          <w:b/>
        </w:rPr>
      </w:pPr>
    </w:p>
    <w:p>
      <w:pPr>
        <w:overflowPunct w:val="0"/>
        <w:adjustRightInd w:val="0"/>
        <w:spacing w:beforeLines="0" w:after="0" w:afterLines="0" w:line="560" w:lineRule="atLeast"/>
        <w:ind w:firstLine="634"/>
        <w:rPr>
          <w:rFonts w:ascii="方正仿宋简体" w:hAnsi="宋体" w:eastAsia="方正仿宋简体"/>
          <w:b/>
        </w:rPr>
      </w:pPr>
      <w:r>
        <w:rPr>
          <w:rFonts w:hint="eastAsia" w:ascii="方正黑体简体" w:eastAsia="方正黑体简体" w:cs="方正仿宋简体"/>
          <w:b/>
        </w:rPr>
        <w:t xml:space="preserve">第二十八条  </w:t>
      </w:r>
      <w:r>
        <w:rPr>
          <w:rFonts w:hint="eastAsia" w:ascii="方正仿宋简体" w:hAnsi="宋体" w:eastAsia="方正仿宋简体"/>
          <w:b/>
        </w:rPr>
        <w:t>工程和物装管理部对所属单位投标人失信行为管理工作实施监督、检查</w:t>
      </w:r>
      <w:r>
        <w:rPr>
          <w:rFonts w:hint="eastAsia" w:ascii="方正仿宋简体" w:hAnsi="宋体" w:eastAsia="方正仿宋简体" w:cs="方正仿宋简体"/>
          <w:b/>
        </w:rPr>
        <w:t>。</w:t>
      </w:r>
    </w:p>
    <w:p>
      <w:pPr>
        <w:overflowPunct w:val="0"/>
        <w:adjustRightInd w:val="0"/>
        <w:spacing w:beforeLines="0" w:after="0" w:afterLines="0" w:line="560" w:lineRule="atLeast"/>
        <w:ind w:firstLine="634"/>
        <w:rPr>
          <w:rFonts w:ascii="方正仿宋简体" w:hAnsi="宋体" w:eastAsia="方正仿宋简体"/>
          <w:b/>
        </w:rPr>
      </w:pPr>
      <w:r>
        <w:rPr>
          <w:rFonts w:hint="eastAsia" w:ascii="方正黑体简体" w:eastAsia="方正黑体简体" w:cs="方正仿宋简体"/>
          <w:b/>
        </w:rPr>
        <w:t xml:space="preserve">第二十九条  </w:t>
      </w:r>
      <w:r>
        <w:rPr>
          <w:rFonts w:hint="eastAsia" w:ascii="方正仿宋简体" w:hAnsi="宋体" w:eastAsia="方正仿宋简体" w:cs="方正仿宋简体"/>
          <w:b/>
          <w:bCs/>
        </w:rPr>
        <w:t>违反本办法规定，有下列情形的，</w:t>
      </w:r>
      <w:r>
        <w:rPr>
          <w:rFonts w:hint="eastAsia" w:ascii="方正仿宋简体" w:hAnsi="宋体" w:eastAsia="方正仿宋简体" w:cs="方正仿宋简体"/>
          <w:b/>
          <w:bCs w:val="0"/>
          <w:sz w:val="32"/>
          <w:szCs w:val="32"/>
          <w:lang w:eastAsia="zh-CN"/>
        </w:rPr>
        <w:t>按照股份公司员工违规行为处理有关规定对相关责任者进行责任追究。涉嫌违纪违法的，移送纪检（监察）机构或有关国家机关依法处理。</w:t>
      </w:r>
    </w:p>
    <w:p>
      <w:pPr>
        <w:pStyle w:val="25"/>
        <w:overflowPunct w:val="0"/>
        <w:adjustRightInd w:val="0"/>
        <w:spacing w:beforeLines="0" w:after="0" w:afterLines="0" w:line="560" w:lineRule="atLeast"/>
        <w:ind w:firstLine="634"/>
        <w:rPr>
          <w:rFonts w:ascii="方正仿宋简体" w:hAnsi="宋体" w:eastAsia="方正仿宋简体" w:cs="方正仿宋简体"/>
          <w:b/>
          <w:sz w:val="32"/>
          <w:szCs w:val="32"/>
        </w:rPr>
      </w:pPr>
      <w:r>
        <w:rPr>
          <w:rFonts w:hint="eastAsia" w:ascii="方正仿宋简体" w:hAnsi="宋体" w:eastAsia="方正仿宋简体" w:cs="方正仿宋简体"/>
          <w:b/>
          <w:sz w:val="32"/>
          <w:szCs w:val="32"/>
        </w:rPr>
        <w:t>（一）对投标人失信行为隐瞒不报的；</w:t>
      </w:r>
    </w:p>
    <w:p>
      <w:pPr>
        <w:pStyle w:val="25"/>
        <w:overflowPunct w:val="0"/>
        <w:adjustRightInd w:val="0"/>
        <w:spacing w:beforeLines="0" w:after="0" w:afterLines="0" w:line="560" w:lineRule="atLeast"/>
        <w:ind w:firstLine="634"/>
        <w:rPr>
          <w:rFonts w:ascii="方正仿宋简体" w:hAnsi="宋体" w:eastAsia="方正仿宋简体" w:cs="Times New Roman"/>
          <w:b/>
          <w:sz w:val="32"/>
          <w:szCs w:val="32"/>
        </w:rPr>
      </w:pPr>
      <w:r>
        <w:rPr>
          <w:rFonts w:hint="eastAsia" w:ascii="方正仿宋简体" w:hAnsi="宋体" w:eastAsia="方正仿宋简体" w:cs="方正仿宋简体"/>
          <w:b/>
          <w:sz w:val="32"/>
          <w:szCs w:val="32"/>
        </w:rPr>
        <w:t>（二）违反规定改变失信行为信息的；</w:t>
      </w:r>
    </w:p>
    <w:p>
      <w:pPr>
        <w:pStyle w:val="25"/>
        <w:overflowPunct w:val="0"/>
        <w:adjustRightInd w:val="0"/>
        <w:spacing w:beforeLines="0" w:after="0" w:afterLines="0" w:line="560" w:lineRule="atLeast"/>
        <w:ind w:firstLine="634"/>
        <w:rPr>
          <w:rFonts w:ascii="方正仿宋简体" w:hAnsi="宋体" w:eastAsia="方正仿宋简体" w:cs="Times New Roman"/>
          <w:b/>
          <w:sz w:val="32"/>
          <w:szCs w:val="32"/>
        </w:rPr>
      </w:pPr>
      <w:r>
        <w:rPr>
          <w:rFonts w:hint="eastAsia" w:ascii="方正仿宋简体" w:hAnsi="宋体" w:eastAsia="方正仿宋简体" w:cs="方正仿宋简体"/>
          <w:b/>
          <w:sz w:val="32"/>
          <w:szCs w:val="32"/>
        </w:rPr>
        <w:t>（三）串通或协助投标人伪造资料或提供虚假资料的；</w:t>
      </w:r>
    </w:p>
    <w:p>
      <w:pPr>
        <w:pStyle w:val="25"/>
        <w:overflowPunct w:val="0"/>
        <w:adjustRightInd w:val="0"/>
        <w:spacing w:beforeLines="0" w:after="0" w:afterLines="0" w:line="560" w:lineRule="atLeast"/>
        <w:ind w:firstLine="634"/>
        <w:rPr>
          <w:rFonts w:ascii="方正仿宋简体" w:hAnsi="宋体" w:eastAsia="方正仿宋简体" w:cs="Times New Roman"/>
          <w:b/>
          <w:sz w:val="32"/>
          <w:szCs w:val="32"/>
        </w:rPr>
      </w:pPr>
      <w:r>
        <w:rPr>
          <w:rFonts w:hint="eastAsia" w:ascii="方正仿宋简体" w:hAnsi="宋体" w:eastAsia="方正仿宋简体" w:cs="方正仿宋简体"/>
          <w:b/>
          <w:sz w:val="32"/>
          <w:szCs w:val="32"/>
        </w:rPr>
        <w:t>（四）更改、销毁或泄漏失信行为重要证据信息的；</w:t>
      </w:r>
    </w:p>
    <w:p>
      <w:pPr>
        <w:pStyle w:val="25"/>
        <w:overflowPunct w:val="0"/>
        <w:adjustRightInd w:val="0"/>
        <w:spacing w:beforeLines="0" w:after="0" w:afterLines="0" w:line="560" w:lineRule="atLeast"/>
        <w:ind w:firstLine="634"/>
        <w:rPr>
          <w:rFonts w:ascii="方正仿宋简体" w:hAnsi="宋体" w:eastAsia="方正仿宋简体" w:cs="Times New Roman"/>
          <w:b/>
          <w:spacing w:val="-10"/>
          <w:sz w:val="32"/>
          <w:szCs w:val="32"/>
        </w:rPr>
      </w:pPr>
      <w:r>
        <w:rPr>
          <w:rFonts w:hint="eastAsia" w:ascii="方正仿宋简体" w:hAnsi="宋体" w:eastAsia="方正仿宋简体" w:cs="方正仿宋简体"/>
          <w:b/>
          <w:sz w:val="32"/>
          <w:szCs w:val="32"/>
        </w:rPr>
        <w:t>（五）在</w:t>
      </w:r>
      <w:r>
        <w:rPr>
          <w:rFonts w:hint="eastAsia" w:ascii="方正仿宋简体" w:hAnsi="宋体" w:eastAsia="方正仿宋简体" w:cs="方正仿宋简体"/>
          <w:b/>
          <w:spacing w:val="-10"/>
          <w:sz w:val="32"/>
          <w:szCs w:val="32"/>
        </w:rPr>
        <w:t>失信行为管理过程中玩忽职守、营私舞弊或收受贿赂的；</w:t>
      </w:r>
    </w:p>
    <w:p>
      <w:pPr>
        <w:pStyle w:val="25"/>
        <w:overflowPunct w:val="0"/>
        <w:adjustRightInd w:val="0"/>
        <w:spacing w:beforeLines="0" w:after="0" w:afterLines="0" w:line="560" w:lineRule="atLeast"/>
        <w:ind w:firstLine="634"/>
        <w:rPr>
          <w:rFonts w:ascii="方正仿宋简体" w:hAnsi="宋体" w:eastAsia="方正仿宋简体" w:cs="方正仿宋简体"/>
          <w:b/>
          <w:sz w:val="32"/>
          <w:szCs w:val="32"/>
        </w:rPr>
      </w:pPr>
      <w:r>
        <w:rPr>
          <w:rFonts w:hint="eastAsia" w:ascii="方正仿宋简体" w:hAnsi="宋体" w:eastAsia="方正仿宋简体" w:cs="方正仿宋简体"/>
          <w:b/>
          <w:sz w:val="32"/>
          <w:szCs w:val="32"/>
        </w:rPr>
        <w:t>（六）对失信行为管理不当，造成不良影响的；</w:t>
      </w:r>
    </w:p>
    <w:p>
      <w:pPr>
        <w:pStyle w:val="25"/>
        <w:overflowPunct w:val="0"/>
        <w:adjustRightInd w:val="0"/>
        <w:spacing w:beforeLines="0" w:after="0" w:afterLines="0" w:line="560" w:lineRule="atLeast"/>
        <w:ind w:firstLine="634"/>
        <w:rPr>
          <w:rFonts w:hint="eastAsia" w:ascii="方正仿宋简体" w:hAnsi="宋体" w:eastAsia="方正仿宋简体" w:cs="方正仿宋简体"/>
          <w:b/>
          <w:sz w:val="32"/>
          <w:szCs w:val="32"/>
        </w:rPr>
      </w:pPr>
      <w:r>
        <w:rPr>
          <w:rFonts w:hint="eastAsia" w:ascii="方正仿宋简体" w:hAnsi="宋体" w:eastAsia="方正仿宋简体" w:cs="方正仿宋简体"/>
          <w:b/>
          <w:sz w:val="32"/>
          <w:szCs w:val="32"/>
        </w:rPr>
        <w:t>（七）其他违规违法行为。</w:t>
      </w:r>
    </w:p>
    <w:p>
      <w:pPr>
        <w:pStyle w:val="25"/>
        <w:overflowPunct w:val="0"/>
        <w:adjustRightInd w:val="0"/>
        <w:spacing w:beforeLines="0" w:after="0" w:afterLines="0" w:line="560" w:lineRule="atLeast"/>
        <w:ind w:firstLine="634"/>
        <w:rPr>
          <w:rFonts w:hint="eastAsia" w:ascii="方正仿宋简体" w:hAnsi="宋体" w:eastAsia="方正仿宋简体" w:cs="方正仿宋简体"/>
          <w:b/>
          <w:sz w:val="32"/>
          <w:szCs w:val="32"/>
        </w:rPr>
      </w:pPr>
    </w:p>
    <w:p>
      <w:pPr>
        <w:pStyle w:val="2"/>
        <w:keepNext w:val="0"/>
        <w:keepLines w:val="0"/>
        <w:numPr>
          <w:ilvl w:val="0"/>
          <w:numId w:val="1"/>
        </w:numPr>
        <w:tabs>
          <w:tab w:val="left" w:pos="540"/>
          <w:tab w:val="left" w:pos="720"/>
        </w:tabs>
        <w:overflowPunct w:val="0"/>
        <w:adjustRightInd w:val="0"/>
        <w:spacing w:before="0" w:beforeLines="0" w:after="0" w:afterLines="0" w:line="560" w:lineRule="atLeast"/>
        <w:ind w:firstLine="0" w:firstLineChars="0"/>
        <w:jc w:val="center"/>
        <w:rPr>
          <w:rFonts w:hint="eastAsia" w:ascii="方正小标宋简体" w:eastAsia="方正小标宋简体" w:cs="方正小标宋简体"/>
          <w:bCs w:val="0"/>
          <w:sz w:val="32"/>
          <w:szCs w:val="32"/>
        </w:rPr>
      </w:pPr>
      <w:r>
        <w:rPr>
          <w:rFonts w:hint="eastAsia" w:ascii="方正小标宋简体" w:eastAsia="方正小标宋简体" w:cs="方正小标宋简体"/>
          <w:bCs w:val="0"/>
          <w:sz w:val="32"/>
          <w:szCs w:val="32"/>
        </w:rPr>
        <w:t xml:space="preserve"> 附  则</w:t>
      </w:r>
    </w:p>
    <w:p>
      <w:pPr>
        <w:pStyle w:val="2"/>
        <w:keepNext w:val="0"/>
        <w:keepLines w:val="0"/>
        <w:numPr>
          <w:ilvl w:val="-1"/>
          <w:numId w:val="0"/>
        </w:numPr>
        <w:tabs>
          <w:tab w:val="left" w:pos="540"/>
          <w:tab w:val="left" w:pos="720"/>
        </w:tabs>
        <w:overflowPunct w:val="0"/>
        <w:adjustRightInd w:val="0"/>
        <w:spacing w:before="0" w:beforeLines="0" w:after="0" w:afterLines="0" w:line="560" w:lineRule="atLeast"/>
        <w:ind w:firstLine="0" w:firstLineChars="0"/>
        <w:jc w:val="both"/>
        <w:rPr>
          <w:rFonts w:hint="eastAsia" w:ascii="方正小标宋简体" w:eastAsia="方正小标宋简体" w:cs="方正小标宋简体"/>
          <w:bCs w:val="0"/>
          <w:sz w:val="32"/>
          <w:szCs w:val="32"/>
        </w:rPr>
      </w:pPr>
    </w:p>
    <w:p>
      <w:pPr>
        <w:overflowPunct w:val="0"/>
        <w:adjustRightInd w:val="0"/>
        <w:spacing w:beforeLines="0" w:after="0" w:afterLines="0" w:line="560" w:lineRule="atLeast"/>
        <w:ind w:firstLine="634"/>
        <w:rPr>
          <w:rFonts w:ascii="方正仿宋简体" w:hAnsi="宋体" w:eastAsia="方正仿宋简体" w:cs="方正仿宋简体"/>
          <w:b/>
        </w:rPr>
      </w:pPr>
      <w:r>
        <w:rPr>
          <w:rFonts w:hint="eastAsia" w:ascii="方正黑体简体" w:eastAsia="方正黑体简体" w:cs="方正仿宋简体"/>
          <w:b/>
        </w:rPr>
        <w:t xml:space="preserve">第三十条  </w:t>
      </w:r>
      <w:r>
        <w:rPr>
          <w:rFonts w:hint="eastAsia" w:ascii="方正仿宋简体" w:hAnsi="宋体" w:eastAsia="方正仿宋简体" w:cs="方正仿宋简体"/>
          <w:b/>
        </w:rPr>
        <w:t>采用谈判采购、询比采购和直接采购等非招标采购活动</w:t>
      </w:r>
      <w:r>
        <w:rPr>
          <w:rFonts w:ascii="方正仿宋简体" w:hAnsi="宋体" w:eastAsia="方正仿宋简体" w:cs="方正仿宋简体"/>
          <w:b/>
        </w:rPr>
        <w:t>失信行为管理</w:t>
      </w:r>
      <w:r>
        <w:rPr>
          <w:rFonts w:hint="eastAsia" w:ascii="方正仿宋简体" w:hAnsi="宋体" w:eastAsia="方正仿宋简体" w:cs="方正仿宋简体"/>
          <w:b/>
        </w:rPr>
        <w:t>参照执行。</w:t>
      </w:r>
    </w:p>
    <w:p>
      <w:pPr>
        <w:overflowPunct w:val="0"/>
        <w:adjustRightInd w:val="0"/>
        <w:spacing w:beforeLines="0" w:after="0" w:afterLines="0" w:line="560" w:lineRule="atLeast"/>
        <w:ind w:firstLine="680"/>
        <w:rPr>
          <w:rFonts w:ascii="方正仿宋简体" w:hAnsi="宋体" w:eastAsia="方正仿宋简体"/>
          <w:b/>
        </w:rPr>
      </w:pPr>
      <w:r>
        <w:rPr>
          <w:rFonts w:hint="eastAsia" w:ascii="方正黑体简体" w:eastAsia="方正黑体简体" w:cs="方正仿宋简体"/>
          <w:b/>
        </w:rPr>
        <w:t xml:space="preserve">第三十一条  </w:t>
      </w:r>
      <w:r>
        <w:rPr>
          <w:rFonts w:hint="eastAsia" w:ascii="方正仿宋简体" w:hAnsi="宋体" w:eastAsia="方正仿宋简体" w:cs="方正仿宋简体"/>
          <w:b/>
        </w:rPr>
        <w:t>本办法由工程和物装管理部负责解释。</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80" w:firstLineChars="200"/>
        <w:jc w:val="left"/>
        <w:rPr>
          <w:rFonts w:ascii="方正仿宋简体" w:hAnsi="方正仿宋简体" w:eastAsia="方正仿宋简体" w:cs="方正小标宋简体"/>
          <w:b/>
          <w:kern w:val="44"/>
        </w:rPr>
      </w:pPr>
      <w:r>
        <w:rPr>
          <w:rFonts w:hint="eastAsia" w:ascii="方正黑体简体" w:eastAsia="方正黑体简体" w:cs="方正仿宋简体"/>
          <w:b/>
        </w:rPr>
        <w:t xml:space="preserve">第三十二条  </w:t>
      </w:r>
      <w:r>
        <w:rPr>
          <w:rFonts w:hint="eastAsia" w:ascii="方正仿宋简体" w:hAnsi="宋体" w:eastAsia="方正仿宋简体" w:cs="方正仿宋简体"/>
          <w:b/>
        </w:rPr>
        <w:t>本办法自印发之日起施行。《</w:t>
      </w:r>
      <w:r>
        <w:rPr>
          <w:rFonts w:hint="eastAsia" w:ascii="方正仿宋简体" w:hAnsi="方正仿宋简体" w:eastAsia="方正仿宋简体" w:cs="方正小标宋简体"/>
          <w:b/>
          <w:kern w:val="44"/>
        </w:rPr>
        <w:t>中国石油天然气股份有限公司投标人失信行为管理办法（试行）</w:t>
      </w:r>
      <w:r>
        <w:rPr>
          <w:rFonts w:hint="eastAsia" w:ascii="方正仿宋简体" w:hAnsi="宋体" w:eastAsia="方正仿宋简体" w:cs="方正仿宋简体"/>
          <w:b/>
        </w:rPr>
        <w:t>》（石油物装</w:t>
      </w:r>
      <w:r>
        <w:rPr>
          <w:rFonts w:hint="eastAsia" w:ascii="方正仿宋简体" w:hAnsi="方正仿宋简体" w:eastAsia="方正仿宋简体" w:cs="方正仿宋简体"/>
          <w:b/>
        </w:rPr>
        <w:t>〔20</w:t>
      </w:r>
      <w:r>
        <w:rPr>
          <w:rFonts w:ascii="方正仿宋简体" w:hAnsi="方正仿宋简体" w:eastAsia="方正仿宋简体" w:cs="方正仿宋简体"/>
          <w:b/>
        </w:rPr>
        <w:t>19</w:t>
      </w:r>
      <w:r>
        <w:rPr>
          <w:rFonts w:hint="eastAsia" w:ascii="方正仿宋简体" w:hAnsi="方正仿宋简体" w:eastAsia="方正仿宋简体" w:cs="方正仿宋简体"/>
          <w:b/>
        </w:rPr>
        <w:t>〕</w:t>
      </w:r>
      <w:r>
        <w:rPr>
          <w:rFonts w:ascii="方正仿宋简体" w:hAnsi="方正仿宋简体" w:eastAsia="方正仿宋简体" w:cs="方正仿宋简体"/>
          <w:b/>
        </w:rPr>
        <w:t>116</w:t>
      </w:r>
      <w:r>
        <w:rPr>
          <w:rFonts w:hint="eastAsia" w:ascii="方正仿宋简体" w:hAnsi="方正仿宋简体" w:eastAsia="方正仿宋简体" w:cs="方正仿宋简体"/>
          <w:b/>
        </w:rPr>
        <w:t>号</w:t>
      </w:r>
      <w:r>
        <w:rPr>
          <w:rFonts w:hint="eastAsia" w:ascii="方正仿宋简体" w:hAnsi="宋体" w:eastAsia="方正仿宋简体" w:cs="方正仿宋简体"/>
          <w:b/>
        </w:rPr>
        <w:t>）同时废止。</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ascii="方正仿宋简体" w:hAnsi="宋体" w:eastAsia="方正仿宋简体"/>
          <w:b/>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ascii="方正仿宋简体" w:hAnsi="宋体" w:eastAsia="方正仿宋简体"/>
          <w:b/>
        </w:rPr>
      </w:pPr>
      <w:r>
        <w:rPr>
          <w:rFonts w:hint="eastAsia" w:ascii="方正仿宋简体" w:hAnsi="宋体" w:eastAsia="方正仿宋简体" w:cs="方正仿宋简体"/>
          <w:b/>
        </w:rPr>
        <w:t>附件：</w:t>
      </w:r>
      <w:r>
        <w:rPr>
          <w:rFonts w:ascii="方正仿宋简体" w:hAnsi="宋体" w:eastAsia="方正仿宋简体" w:cs="方正仿宋简体"/>
          <w:b/>
        </w:rPr>
        <w:t xml:space="preserve">1. </w:t>
      </w:r>
      <w:r>
        <w:rPr>
          <w:rFonts w:hint="eastAsia" w:ascii="方正仿宋简体" w:hAnsi="宋体" w:eastAsia="方正仿宋简体" w:cs="方正仿宋简体"/>
          <w:b/>
        </w:rPr>
        <w:t>投标人失信行为分级分类与记分标准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1689" w:firstLineChars="497"/>
        <w:rPr>
          <w:rFonts w:ascii="方正仿宋简体" w:hAnsi="宋体" w:eastAsia="方正仿宋简体"/>
          <w:b/>
        </w:rPr>
      </w:pPr>
      <w:r>
        <w:rPr>
          <w:rFonts w:ascii="方正仿宋简体" w:hAnsi="宋体" w:eastAsia="方正仿宋简体" w:cs="方正仿宋简体"/>
          <w:b/>
        </w:rPr>
        <w:t xml:space="preserve">2. </w:t>
      </w:r>
      <w:r>
        <w:rPr>
          <w:rFonts w:hint="eastAsia" w:ascii="方正仿宋简体" w:hAnsi="宋体" w:eastAsia="方正仿宋简体" w:cs="方正仿宋简体"/>
          <w:b/>
        </w:rPr>
        <w:t>投标人失信行为审核表</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1689" w:firstLineChars="497"/>
        <w:rPr>
          <w:rFonts w:ascii="方正仿宋简体" w:hAnsi="宋体" w:eastAsia="方正仿宋简体"/>
          <w:b/>
        </w:rPr>
      </w:pPr>
      <w:r>
        <w:rPr>
          <w:rFonts w:ascii="方正仿宋简体" w:hAnsi="宋体" w:eastAsia="方正仿宋简体" w:cs="方正仿宋简体"/>
          <w:b/>
        </w:rPr>
        <w:t xml:space="preserve">3. </w:t>
      </w:r>
      <w:r>
        <w:rPr>
          <w:rFonts w:hint="eastAsia" w:ascii="方正仿宋简体" w:hAnsi="宋体" w:eastAsia="方正仿宋简体" w:cs="方正仿宋简体"/>
          <w:b/>
        </w:rPr>
        <w:t>投标人失信行为告知函</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1689" w:firstLineChars="497"/>
        <w:rPr>
          <w:rFonts w:ascii="方正仿宋简体" w:hAnsi="宋体" w:eastAsia="方正仿宋简体"/>
          <w:b/>
        </w:rPr>
      </w:pPr>
      <w:r>
        <w:rPr>
          <w:rFonts w:ascii="方正仿宋简体" w:hAnsi="宋体" w:eastAsia="方正仿宋简体" w:cs="方正仿宋简体"/>
          <w:b/>
        </w:rPr>
        <w:t xml:space="preserve">4. </w:t>
      </w:r>
      <w:r>
        <w:rPr>
          <w:rFonts w:hint="eastAsia" w:ascii="方正仿宋简体" w:hAnsi="宋体" w:eastAsia="方正仿宋简体" w:cs="方正仿宋简体"/>
          <w:b/>
        </w:rPr>
        <w:t>投标人失信行为信息发布记录表</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beforeLines="0" w:after="0" w:afterLines="0" w:line="560" w:lineRule="atLeast"/>
        <w:ind w:firstLine="634"/>
        <w:rPr>
          <w:rFonts w:ascii="方正黑体简体" w:hAnsi="仿宋" w:eastAsia="方正黑体简体" w:cs="仿宋"/>
          <w:b/>
          <w:kern w:val="0"/>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2098" w:right="1474" w:bottom="1984" w:left="1587" w:header="851" w:footer="1474" w:gutter="0"/>
          <w:pgNumType w:fmt="decimal" w:start="3"/>
          <w:cols w:space="0" w:num="1"/>
          <w:docGrid w:type="linesAndChars" w:linePitch="579" w:charSpace="4135"/>
        </w:sect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after="0" w:line="500" w:lineRule="exact"/>
        <w:ind w:firstLine="0" w:firstLineChars="0"/>
        <w:rPr>
          <w:rFonts w:ascii="方正黑体简体" w:hAnsi="仿宋" w:eastAsia="方正黑体简体" w:cs="仿宋"/>
          <w:b w:val="0"/>
          <w:bCs/>
          <w:kern w:val="0"/>
        </w:rPr>
      </w:pPr>
      <w:r>
        <w:rPr>
          <w:rFonts w:hint="eastAsia" w:ascii="方正黑体简体" w:hAnsi="仿宋" w:eastAsia="方正黑体简体" w:cs="仿宋"/>
          <w:b w:val="0"/>
          <w:bCs/>
          <w:kern w:val="0"/>
        </w:rPr>
        <w:t>附件</w:t>
      </w:r>
      <w:r>
        <w:rPr>
          <w:rFonts w:ascii="方正黑体简体" w:hAnsi="仿宋" w:eastAsia="方正黑体简体" w:cs="仿宋"/>
          <w:b w:val="0"/>
          <w:bCs/>
          <w:kern w:val="0"/>
        </w:rPr>
        <w:t>1</w:t>
      </w:r>
    </w:p>
    <w:p>
      <w:pPr>
        <w:overflowPunct w:val="0"/>
        <w:adjustRightInd w:val="0"/>
        <w:spacing w:after="0" w:line="500" w:lineRule="exact"/>
        <w:ind w:firstLine="0" w:firstLineChars="0"/>
        <w:rPr>
          <w:rFonts w:ascii="方正黑体简体" w:hAnsi="仿宋" w:eastAsia="方正黑体简体" w:cs="仿宋"/>
          <w:b/>
          <w:kern w:val="0"/>
        </w:rPr>
      </w:pPr>
    </w:p>
    <w:p>
      <w:pPr>
        <w:adjustRightInd w:val="0"/>
        <w:spacing w:after="57" w:afterLines="10" w:line="640" w:lineRule="exact"/>
        <w:ind w:firstLine="0" w:firstLineChars="0"/>
        <w:jc w:val="center"/>
        <w:rPr>
          <w:rFonts w:ascii="方正小标宋简体" w:hAnsi="仿宋" w:eastAsia="方正小标宋简体"/>
          <w:b/>
          <w:kern w:val="0"/>
          <w:sz w:val="44"/>
          <w:szCs w:val="44"/>
        </w:rPr>
      </w:pPr>
      <w:r>
        <w:rPr>
          <w:rFonts w:hint="eastAsia" w:ascii="方正小标宋简体" w:hAnsi="仿宋" w:eastAsia="方正小标宋简体" w:cs="仿宋"/>
          <w:b/>
          <w:kern w:val="0"/>
          <w:sz w:val="44"/>
          <w:szCs w:val="44"/>
        </w:rPr>
        <w:t>投标人失信行为分级分类与记分标准</w:t>
      </w:r>
    </w:p>
    <w:tbl>
      <w:tblPr>
        <w:tblStyle w:val="12"/>
        <w:tblW w:w="1314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55"/>
        <w:gridCol w:w="882"/>
        <w:gridCol w:w="1720"/>
        <w:gridCol w:w="6640"/>
        <w:gridCol w:w="889"/>
        <w:gridCol w:w="1082"/>
        <w:gridCol w:w="107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55" w:type="dxa"/>
            <w:vMerge w:val="restart"/>
            <w:tcBorders>
              <w:top w:val="single" w:color="auto" w:sz="8" w:space="0"/>
            </w:tcBorders>
            <w:vAlign w:val="center"/>
          </w:tcPr>
          <w:p>
            <w:pPr>
              <w:widowControl/>
              <w:adjustRightInd w:val="0"/>
              <w:spacing w:after="0" w:line="300" w:lineRule="exact"/>
              <w:ind w:firstLine="0" w:firstLineChars="0"/>
              <w:jc w:val="center"/>
              <w:rPr>
                <w:rFonts w:ascii="宋体" w:cs="宋体"/>
                <w:b/>
                <w:bCs/>
                <w:spacing w:val="-6"/>
                <w:kern w:val="0"/>
                <w:sz w:val="24"/>
                <w:szCs w:val="24"/>
              </w:rPr>
            </w:pPr>
            <w:r>
              <w:rPr>
                <w:rFonts w:hint="eastAsia" w:ascii="宋体" w:hAnsi="宋体" w:cs="宋体"/>
                <w:b/>
                <w:bCs/>
                <w:spacing w:val="-6"/>
                <w:kern w:val="0"/>
                <w:sz w:val="24"/>
                <w:szCs w:val="24"/>
              </w:rPr>
              <w:t>序号</w:t>
            </w:r>
          </w:p>
        </w:tc>
        <w:tc>
          <w:tcPr>
            <w:tcW w:w="882" w:type="dxa"/>
            <w:vMerge w:val="restart"/>
            <w:tcBorders>
              <w:top w:val="single" w:color="auto" w:sz="8" w:space="0"/>
            </w:tcBorders>
            <w:vAlign w:val="center"/>
          </w:tcPr>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类别</w:t>
            </w:r>
          </w:p>
        </w:tc>
        <w:tc>
          <w:tcPr>
            <w:tcW w:w="1720" w:type="dxa"/>
            <w:vMerge w:val="restart"/>
            <w:tcBorders>
              <w:top w:val="single" w:color="auto" w:sz="8" w:space="0"/>
            </w:tcBorders>
            <w:vAlign w:val="center"/>
          </w:tcPr>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失信行为代码</w:t>
            </w:r>
          </w:p>
        </w:tc>
        <w:tc>
          <w:tcPr>
            <w:tcW w:w="6640" w:type="dxa"/>
            <w:vMerge w:val="restart"/>
            <w:tcBorders>
              <w:top w:val="single" w:color="auto" w:sz="8" w:space="0"/>
            </w:tcBorders>
            <w:vAlign w:val="center"/>
          </w:tcPr>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失信行为</w:t>
            </w:r>
          </w:p>
        </w:tc>
        <w:tc>
          <w:tcPr>
            <w:tcW w:w="889" w:type="dxa"/>
            <w:vMerge w:val="restart"/>
            <w:tcBorders>
              <w:top w:val="single" w:color="auto" w:sz="8" w:space="0"/>
            </w:tcBorders>
            <w:vAlign w:val="center"/>
          </w:tcPr>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等级</w:t>
            </w:r>
          </w:p>
        </w:tc>
        <w:tc>
          <w:tcPr>
            <w:tcW w:w="2156" w:type="dxa"/>
            <w:gridSpan w:val="2"/>
            <w:tcBorders>
              <w:top w:val="single" w:color="auto" w:sz="8" w:space="0"/>
            </w:tcBorders>
            <w:vAlign w:val="center"/>
          </w:tcPr>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失信记分标准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55"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6640"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889"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082" w:type="dxa"/>
            <w:vAlign w:val="center"/>
          </w:tcPr>
          <w:p>
            <w:pPr>
              <w:widowControl/>
              <w:adjustRightInd w:val="0"/>
              <w:spacing w:after="0" w:line="300" w:lineRule="exact"/>
              <w:ind w:firstLine="0" w:firstLineChars="0"/>
              <w:jc w:val="center"/>
              <w:rPr>
                <w:rFonts w:ascii="宋体" w:cs="宋体"/>
                <w:b/>
                <w:bCs/>
                <w:spacing w:val="-6"/>
                <w:kern w:val="0"/>
                <w:sz w:val="24"/>
                <w:szCs w:val="24"/>
              </w:rPr>
            </w:pPr>
            <w:r>
              <w:rPr>
                <w:rFonts w:hint="eastAsia" w:ascii="宋体" w:hAnsi="宋体" w:cs="宋体"/>
                <w:b/>
                <w:bCs/>
                <w:spacing w:val="-6"/>
                <w:kern w:val="0"/>
                <w:sz w:val="24"/>
                <w:szCs w:val="24"/>
              </w:rPr>
              <w:t>基础分</w:t>
            </w:r>
          </w:p>
        </w:tc>
        <w:tc>
          <w:tcPr>
            <w:tcW w:w="1074" w:type="dxa"/>
            <w:vAlign w:val="center"/>
          </w:tcPr>
          <w:p>
            <w:pPr>
              <w:widowControl/>
              <w:adjustRightInd w:val="0"/>
              <w:spacing w:after="0" w:line="300" w:lineRule="exact"/>
              <w:ind w:firstLine="0" w:firstLineChars="0"/>
              <w:jc w:val="center"/>
              <w:rPr>
                <w:rFonts w:ascii="宋体" w:cs="宋体"/>
                <w:b/>
                <w:bCs/>
                <w:spacing w:val="-6"/>
                <w:kern w:val="0"/>
                <w:sz w:val="24"/>
                <w:szCs w:val="24"/>
              </w:rPr>
            </w:pPr>
            <w:r>
              <w:rPr>
                <w:rFonts w:hint="eastAsia" w:ascii="宋体" w:hAnsi="宋体" w:cs="宋体"/>
                <w:b/>
                <w:bCs/>
                <w:spacing w:val="-6"/>
                <w:kern w:val="0"/>
                <w:sz w:val="24"/>
                <w:szCs w:val="24"/>
              </w:rPr>
              <w:t>加重分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vAlign w:val="center"/>
          </w:tcPr>
          <w:p>
            <w:pPr>
              <w:widowControl/>
              <w:adjustRightInd w:val="0"/>
              <w:spacing w:after="0" w:line="300" w:lineRule="exact"/>
              <w:ind w:firstLine="0" w:firstLineChars="0"/>
              <w:jc w:val="center"/>
              <w:rPr>
                <w:rFonts w:ascii="宋体" w:cs="宋体"/>
                <w:b/>
                <w:bCs/>
                <w:spacing w:val="-6"/>
                <w:kern w:val="0"/>
                <w:sz w:val="24"/>
                <w:szCs w:val="24"/>
              </w:rPr>
            </w:pPr>
            <w:r>
              <w:rPr>
                <w:rFonts w:hint="eastAsia" w:ascii="宋体" w:hAnsi="宋体" w:cs="宋体"/>
                <w:b/>
                <w:bCs/>
                <w:spacing w:val="-6"/>
                <w:kern w:val="0"/>
                <w:sz w:val="24"/>
                <w:szCs w:val="24"/>
              </w:rPr>
              <w:t>弄虚</w:t>
            </w:r>
          </w:p>
          <w:p>
            <w:pPr>
              <w:widowControl/>
              <w:adjustRightInd w:val="0"/>
              <w:spacing w:after="0" w:line="300" w:lineRule="exact"/>
              <w:ind w:firstLine="0" w:firstLineChars="0"/>
              <w:jc w:val="center"/>
              <w:rPr>
                <w:rFonts w:ascii="宋体" w:cs="宋体"/>
                <w:b/>
                <w:bCs/>
                <w:spacing w:val="-6"/>
                <w:kern w:val="0"/>
                <w:sz w:val="24"/>
                <w:szCs w:val="24"/>
              </w:rPr>
            </w:pPr>
            <w:r>
              <w:rPr>
                <w:rFonts w:hint="eastAsia" w:ascii="宋体" w:hAnsi="宋体" w:cs="宋体"/>
                <w:b/>
                <w:bCs/>
                <w:spacing w:val="-6"/>
                <w:kern w:val="0"/>
                <w:sz w:val="24"/>
                <w:szCs w:val="24"/>
              </w:rPr>
              <w:t>作假</w:t>
            </w: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SX-T-XJ-01-B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投标人通过受让或者租借等方式获取的资格、资质证书，以他人名义投标。</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SX-T-XJ-02-B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投标人将资格、资质证书等出借、出租、转让他人或为其他单位提供图章、图签。</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SX-T-XJ-03-B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投标人使用伪造、变造的资格、资质证书或者许可证件等。</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SX-T-XJ-04-B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投标人提供虚假的财务状况、信用状况、票据或业绩等。</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SX-T-XJ-05-B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投标人提供虚假的项目负责人、主要技术人员简历、资格证书、劳动关系证明、社保证明等。</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SX-T-XJ-06-B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投标人协助招标人或招标代理机构实施虚假招标。</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SX-T-XJ-07-B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投标人在有关部门处理异议、对投标人中标履约能力考查及查办案件调查有关情况时，提供虚假资料、虚假情况或者作伪证。</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hint="eastAsia" w:ascii="宋体" w:hAnsi="宋体" w:eastAsia="宋体" w:cs="宋体"/>
                <w:b/>
                <w:spacing w:val="-4"/>
                <w:kern w:val="0"/>
                <w:sz w:val="24"/>
                <w:szCs w:val="24"/>
                <w:lang w:val="en-US" w:eastAsia="zh-CN"/>
              </w:rPr>
            </w:pPr>
            <w:r>
              <w:rPr>
                <w:rFonts w:ascii="宋体" w:hAnsi="宋体" w:cs="宋体"/>
                <w:b/>
                <w:spacing w:val="-4"/>
                <w:kern w:val="0"/>
                <w:sz w:val="24"/>
                <w:szCs w:val="24"/>
              </w:rPr>
              <w:t>SX-T-XJ-08-</w:t>
            </w:r>
            <w:r>
              <w:rPr>
                <w:rFonts w:hint="eastAsia" w:ascii="宋体" w:hAnsi="宋体" w:cs="宋体"/>
                <w:b/>
                <w:spacing w:val="-4"/>
                <w:kern w:val="0"/>
                <w:sz w:val="24"/>
                <w:szCs w:val="24"/>
                <w:lang w:val="en-US" w:eastAsia="zh-CN"/>
              </w:rPr>
              <w:t>X</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投标人发生的其他弄虚作假行为。</w:t>
            </w:r>
          </w:p>
        </w:tc>
        <w:tc>
          <w:tcPr>
            <w:tcW w:w="1971" w:type="dxa"/>
            <w:gridSpan w:val="2"/>
            <w:vAlign w:val="center"/>
          </w:tcPr>
          <w:p>
            <w:pPr>
              <w:widowControl/>
              <w:adjustRightInd w:val="0"/>
              <w:spacing w:after="0" w:line="280" w:lineRule="exact"/>
              <w:ind w:firstLine="0" w:firstLineChars="0"/>
              <w:jc w:val="center"/>
              <w:rPr>
                <w:rFonts w:ascii="宋体" w:cs="宋体"/>
                <w:b/>
                <w:kern w:val="0"/>
                <w:sz w:val="24"/>
                <w:szCs w:val="24"/>
              </w:rPr>
            </w:pPr>
            <w:r>
              <w:rPr>
                <w:rFonts w:hint="eastAsia" w:ascii="宋体" w:hAnsi="宋体" w:cs="宋体"/>
                <w:b/>
                <w:kern w:val="0"/>
                <w:sz w:val="24"/>
                <w:szCs w:val="24"/>
              </w:rPr>
              <w:t>根据具体性质和情节轻重确定等级并记基础分</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vAlign w:val="center"/>
          </w:tcPr>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串通</w:t>
            </w:r>
          </w:p>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投标</w:t>
            </w:r>
          </w:p>
        </w:tc>
        <w:tc>
          <w:tcPr>
            <w:tcW w:w="1720" w:type="dxa"/>
            <w:vAlign w:val="center"/>
          </w:tcPr>
          <w:p>
            <w:pPr>
              <w:widowControl/>
              <w:adjustRightInd w:val="0"/>
              <w:spacing w:after="0" w:line="300" w:lineRule="exact"/>
              <w:ind w:firstLine="0" w:firstLineChars="0"/>
              <w:rPr>
                <w:rFonts w:ascii="宋体" w:hAnsi="宋体" w:cs="宋体"/>
                <w:b/>
                <w:spacing w:val="-6"/>
                <w:kern w:val="0"/>
                <w:sz w:val="24"/>
                <w:szCs w:val="24"/>
              </w:rPr>
            </w:pPr>
            <w:r>
              <w:rPr>
                <w:rFonts w:ascii="宋体" w:hAnsi="宋体" w:cs="宋体"/>
                <w:b/>
                <w:spacing w:val="-6"/>
                <w:kern w:val="0"/>
                <w:sz w:val="24"/>
                <w:szCs w:val="24"/>
              </w:rPr>
              <w:t>SX-T-CT-01-B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投标人之间协商投标报价等投标文件的实质性内容。</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SX-T-CT-02-B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投标人之间约定部分投标人放弃投标或约定中标人。</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SX-T-CT-03-B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属于同一集团、协会、商会等组织成员的投标人按照该组织要求协同投标。</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SX-T-CT-04-B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不同投标人的投标文件由同一单位或者个人编制。</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SX-T-CT-05-B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不同投标人委托同一单位或者个人办理投标事宜。</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SX-T-CT-06-B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不同投标人的投标文件载明的项目管理成员为同一人。</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SX-T-CT-07-B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不同投标人的投标文件异常一致或者投标报价呈规律性差异。</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SX-T-CT-08-B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不同投标人的投标文件出现关键信息或资料相互混装。</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SX-T-CT-09-B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不同投标人的投标保证金从同一单位或者个人的账户转出。</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6"/>
                <w:kern w:val="0"/>
                <w:sz w:val="24"/>
                <w:szCs w:val="24"/>
              </w:rPr>
            </w:pPr>
            <w:r>
              <w:rPr>
                <w:rFonts w:ascii="宋体" w:hAnsi="宋体" w:cs="宋体"/>
                <w:b/>
                <w:spacing w:val="-6"/>
                <w:kern w:val="0"/>
                <w:sz w:val="24"/>
                <w:szCs w:val="24"/>
              </w:rPr>
              <w:t>SX-T-CT-10-B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开</w:t>
            </w:r>
            <w:r>
              <w:rPr>
                <w:rFonts w:hint="eastAsia" w:ascii="宋体" w:hAnsi="宋体" w:cs="宋体"/>
                <w:b/>
                <w:spacing w:val="-4"/>
                <w:kern w:val="0"/>
                <w:sz w:val="24"/>
                <w:szCs w:val="24"/>
              </w:rPr>
              <w:t>标前，投标人从招标人处获取其他投标人及投标文件有关信息。</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6"/>
                <w:kern w:val="0"/>
                <w:sz w:val="24"/>
                <w:szCs w:val="24"/>
              </w:rPr>
            </w:pPr>
            <w:r>
              <w:rPr>
                <w:rFonts w:ascii="宋体" w:hAnsi="宋体" w:cs="宋体"/>
                <w:b/>
                <w:spacing w:val="-6"/>
                <w:kern w:val="0"/>
                <w:sz w:val="24"/>
                <w:szCs w:val="24"/>
              </w:rPr>
              <w:t>SX-T-CT-11-B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投标人直接或者间接获得标底、评标委员会成员等信息。</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6"/>
                <w:kern w:val="0"/>
                <w:sz w:val="24"/>
                <w:szCs w:val="24"/>
              </w:rPr>
            </w:pPr>
            <w:r>
              <w:rPr>
                <w:rFonts w:ascii="宋体" w:hAnsi="宋体" w:cs="宋体"/>
                <w:b/>
                <w:spacing w:val="-6"/>
                <w:kern w:val="0"/>
                <w:sz w:val="24"/>
                <w:szCs w:val="24"/>
              </w:rPr>
              <w:t>SX-T-CT-12-B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投标人按招标人明示或者暗示要求压低或者抬高投标报价。</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6"/>
                <w:kern w:val="0"/>
                <w:sz w:val="24"/>
                <w:szCs w:val="24"/>
              </w:rPr>
            </w:pPr>
            <w:r>
              <w:rPr>
                <w:rFonts w:ascii="宋体" w:hAnsi="宋体" w:cs="宋体"/>
                <w:b/>
                <w:spacing w:val="-6"/>
                <w:kern w:val="0"/>
                <w:sz w:val="24"/>
                <w:szCs w:val="24"/>
              </w:rPr>
              <w:t>SX-T-CT-13-B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投标人按招标人授意撤换、修改投标文件。</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6"/>
                <w:kern w:val="0"/>
                <w:sz w:val="24"/>
                <w:szCs w:val="24"/>
              </w:rPr>
            </w:pPr>
            <w:r>
              <w:rPr>
                <w:rFonts w:ascii="宋体" w:hAnsi="宋体" w:cs="宋体"/>
                <w:b/>
                <w:spacing w:val="-6"/>
                <w:kern w:val="0"/>
                <w:sz w:val="24"/>
                <w:szCs w:val="24"/>
              </w:rPr>
              <w:t>SX-T-CT-14-B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w:t>
            </w:r>
            <w:r>
              <w:rPr>
                <w:rFonts w:hint="eastAsia" w:ascii="宋体" w:hAnsi="宋体" w:cs="宋体"/>
                <w:b/>
                <w:spacing w:val="-4"/>
                <w:kern w:val="0"/>
                <w:sz w:val="24"/>
                <w:szCs w:val="24"/>
              </w:rPr>
              <w:t>标人按招标人明示或者暗示要求为特定投标人中标提供方便。</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vAlign w:val="center"/>
          </w:tcPr>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串通</w:t>
            </w:r>
          </w:p>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投标</w:t>
            </w:r>
          </w:p>
        </w:tc>
        <w:tc>
          <w:tcPr>
            <w:tcW w:w="1720" w:type="dxa"/>
            <w:vAlign w:val="center"/>
          </w:tcPr>
          <w:p>
            <w:pPr>
              <w:widowControl/>
              <w:adjustRightInd w:val="0"/>
              <w:spacing w:after="0" w:line="300" w:lineRule="exact"/>
              <w:ind w:firstLine="0" w:firstLineChars="0"/>
              <w:rPr>
                <w:rFonts w:ascii="宋体" w:cs="宋体"/>
                <w:b/>
                <w:spacing w:val="-4"/>
                <w:kern w:val="0"/>
                <w:sz w:val="24"/>
                <w:szCs w:val="24"/>
              </w:rPr>
            </w:pPr>
            <w:r>
              <w:rPr>
                <w:rFonts w:ascii="宋体" w:hAnsi="宋体" w:cs="宋体"/>
                <w:b/>
                <w:spacing w:val="-6"/>
                <w:kern w:val="0"/>
                <w:sz w:val="24"/>
                <w:szCs w:val="24"/>
              </w:rPr>
              <w:t>SX-T-CT-15-B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单位负责人为同一人或者存在控股、管理关系的不同单位，参加同一标段投标或者未划分标段的同一招标项目投标，开标后不告知招标人，影响公平竞争的。</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cs="宋体"/>
                <w:b/>
                <w:spacing w:val="-4"/>
                <w:kern w:val="0"/>
                <w:sz w:val="24"/>
                <w:szCs w:val="24"/>
              </w:rPr>
            </w:pPr>
            <w:r>
              <w:rPr>
                <w:rFonts w:ascii="宋体" w:hAnsi="宋体" w:cs="宋体"/>
                <w:b/>
                <w:spacing w:val="-6"/>
                <w:kern w:val="0"/>
                <w:sz w:val="24"/>
                <w:szCs w:val="24"/>
              </w:rPr>
              <w:t>SX-T-CT-16-B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经信息化数据分析判定投标人之间存在计价锁号相同或</w:t>
            </w:r>
            <w:r>
              <w:rPr>
                <w:rFonts w:ascii="宋体" w:hAnsi="宋体" w:cs="宋体"/>
                <w:b/>
                <w:kern w:val="0"/>
                <w:sz w:val="24"/>
                <w:szCs w:val="24"/>
              </w:rPr>
              <w:t>MAC</w:t>
            </w:r>
            <w:r>
              <w:rPr>
                <w:rFonts w:hint="eastAsia" w:ascii="宋体" w:hAnsi="宋体" w:cs="宋体"/>
                <w:b/>
                <w:kern w:val="0"/>
                <w:sz w:val="24"/>
                <w:szCs w:val="24"/>
              </w:rPr>
              <w:t>地址相同。</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SX-T-CT-17-B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投标人与招标人之间、投标人与投标人之间为谋求中标排斥其他投标人或者损害招标人利益而采取的其他串通行为。</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vAlign w:val="center"/>
          </w:tcPr>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中标</w:t>
            </w:r>
          </w:p>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违约</w:t>
            </w: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SX-T-WY-01-C</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中标人的经营、财务状况发生较大变化或者存在违法行为，影响其履约能力而不告知招标人。</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较重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4</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SX-T-WY-02-B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中标人无正当理由放弃中标资格的。</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SX-T-WY-0</w:t>
            </w:r>
            <w:r>
              <w:rPr>
                <w:rFonts w:hint="eastAsia" w:ascii="宋体" w:hAnsi="宋体" w:cs="宋体"/>
                <w:b/>
                <w:spacing w:val="-4"/>
                <w:kern w:val="0"/>
                <w:sz w:val="24"/>
                <w:szCs w:val="24"/>
              </w:rPr>
              <w:t>3</w:t>
            </w:r>
            <w:r>
              <w:rPr>
                <w:rFonts w:ascii="宋体" w:hAnsi="宋体" w:cs="宋体"/>
                <w:b/>
                <w:spacing w:val="-4"/>
                <w:kern w:val="0"/>
                <w:sz w:val="24"/>
                <w:szCs w:val="24"/>
              </w:rPr>
              <w:t>-B</w:t>
            </w:r>
          </w:p>
        </w:tc>
        <w:tc>
          <w:tcPr>
            <w:tcW w:w="6640" w:type="dxa"/>
            <w:vAlign w:val="center"/>
          </w:tcPr>
          <w:p>
            <w:pPr>
              <w:widowControl/>
              <w:adjustRightInd w:val="0"/>
              <w:spacing w:after="0" w:line="300" w:lineRule="exact"/>
              <w:ind w:firstLine="0" w:firstLineChars="0"/>
              <w:rPr>
                <w:rFonts w:ascii="宋体" w:hAnsi="宋体" w:cs="宋体"/>
                <w:b/>
                <w:kern w:val="0"/>
                <w:sz w:val="24"/>
                <w:szCs w:val="24"/>
              </w:rPr>
            </w:pPr>
            <w:r>
              <w:rPr>
                <w:rFonts w:hint="eastAsia" w:ascii="宋体" w:hAnsi="宋体" w:cs="宋体"/>
                <w:b/>
                <w:kern w:val="0"/>
                <w:sz w:val="24"/>
                <w:szCs w:val="24"/>
              </w:rPr>
              <w:t>中标人无正当理由不与招标人签订合同。</w:t>
            </w:r>
          </w:p>
        </w:tc>
        <w:tc>
          <w:tcPr>
            <w:tcW w:w="889"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SX-T-WY-0</w:t>
            </w:r>
            <w:r>
              <w:rPr>
                <w:rFonts w:hint="eastAsia" w:ascii="宋体" w:hAnsi="宋体" w:cs="宋体"/>
                <w:b/>
                <w:spacing w:val="-4"/>
                <w:kern w:val="0"/>
                <w:sz w:val="24"/>
                <w:szCs w:val="24"/>
              </w:rPr>
              <w:t>4</w:t>
            </w:r>
            <w:r>
              <w:rPr>
                <w:rFonts w:ascii="宋体" w:hAnsi="宋体" w:cs="宋体"/>
                <w:b/>
                <w:spacing w:val="-4"/>
                <w:kern w:val="0"/>
                <w:sz w:val="24"/>
                <w:szCs w:val="24"/>
              </w:rPr>
              <w:t>-</w:t>
            </w:r>
            <w:r>
              <w:rPr>
                <w:rFonts w:hint="eastAsia" w:ascii="宋体" w:hAnsi="宋体" w:cs="宋体"/>
                <w:b/>
                <w:spacing w:val="-4"/>
                <w:kern w:val="0"/>
                <w:sz w:val="24"/>
                <w:szCs w:val="24"/>
              </w:rPr>
              <w:t>C</w:t>
            </w:r>
          </w:p>
        </w:tc>
        <w:tc>
          <w:tcPr>
            <w:tcW w:w="6640" w:type="dxa"/>
            <w:vAlign w:val="center"/>
          </w:tcPr>
          <w:p>
            <w:pPr>
              <w:widowControl/>
              <w:adjustRightInd w:val="0"/>
              <w:spacing w:after="0" w:line="300" w:lineRule="exact"/>
              <w:ind w:firstLine="0" w:firstLineChars="0"/>
              <w:rPr>
                <w:rFonts w:ascii="宋体" w:hAnsi="宋体" w:cs="宋体"/>
                <w:b/>
                <w:kern w:val="0"/>
                <w:sz w:val="24"/>
                <w:szCs w:val="24"/>
              </w:rPr>
            </w:pPr>
            <w:r>
              <w:rPr>
                <w:rFonts w:hint="eastAsia" w:ascii="宋体" w:hAnsi="宋体" w:cs="宋体"/>
                <w:b/>
                <w:kern w:val="0"/>
                <w:sz w:val="24"/>
                <w:szCs w:val="24"/>
              </w:rPr>
              <w:t>中标人无正当理由不按规定办理相关手续，拖延合同签订。</w:t>
            </w:r>
          </w:p>
        </w:tc>
        <w:tc>
          <w:tcPr>
            <w:tcW w:w="889"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hint="eastAsia" w:ascii="宋体" w:hAnsi="宋体" w:cs="宋体"/>
                <w:b/>
                <w:kern w:val="0"/>
                <w:sz w:val="24"/>
                <w:szCs w:val="24"/>
              </w:rPr>
              <w:t>较重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hint="eastAsia" w:ascii="宋体" w:hAnsi="宋体" w:cs="宋体"/>
                <w:b/>
                <w:kern w:val="0"/>
                <w:sz w:val="24"/>
                <w:szCs w:val="24"/>
              </w:rPr>
              <w:t>4</w:t>
            </w:r>
          </w:p>
        </w:tc>
        <w:tc>
          <w:tcPr>
            <w:tcW w:w="1074" w:type="dxa"/>
            <w:vAlign w:val="center"/>
          </w:tcPr>
          <w:p>
            <w:pPr>
              <w:widowControl/>
              <w:adjustRightInd w:val="0"/>
              <w:spacing w:after="0" w:line="300" w:lineRule="exact"/>
              <w:ind w:firstLine="0" w:firstLineChars="0"/>
              <w:jc w:val="center"/>
              <w:rPr>
                <w:rFonts w:asci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SX-T-WY-0</w:t>
            </w:r>
            <w:r>
              <w:rPr>
                <w:rFonts w:hint="eastAsia" w:ascii="宋体" w:hAnsi="宋体" w:cs="宋体"/>
                <w:b/>
                <w:spacing w:val="-4"/>
                <w:kern w:val="0"/>
                <w:sz w:val="24"/>
                <w:szCs w:val="24"/>
              </w:rPr>
              <w:t>5</w:t>
            </w:r>
            <w:r>
              <w:rPr>
                <w:rFonts w:ascii="宋体" w:hAnsi="宋体" w:cs="宋体"/>
                <w:b/>
                <w:spacing w:val="-4"/>
                <w:kern w:val="0"/>
                <w:sz w:val="24"/>
                <w:szCs w:val="24"/>
              </w:rPr>
              <w:t>-B</w:t>
            </w:r>
          </w:p>
        </w:tc>
        <w:tc>
          <w:tcPr>
            <w:tcW w:w="6640" w:type="dxa"/>
            <w:vAlign w:val="center"/>
          </w:tcPr>
          <w:p>
            <w:pPr>
              <w:widowControl/>
              <w:adjustRightInd w:val="0"/>
              <w:spacing w:after="0" w:line="300" w:lineRule="exact"/>
              <w:ind w:firstLine="0" w:firstLineChars="0"/>
              <w:rPr>
                <w:rFonts w:ascii="宋体" w:hAnsi="宋体" w:cs="宋体"/>
                <w:b/>
                <w:kern w:val="0"/>
                <w:sz w:val="24"/>
                <w:szCs w:val="24"/>
              </w:rPr>
            </w:pPr>
            <w:r>
              <w:rPr>
                <w:rFonts w:hint="eastAsia" w:ascii="宋体" w:hAnsi="宋体" w:cs="宋体"/>
                <w:b/>
                <w:kern w:val="0"/>
                <w:sz w:val="24"/>
                <w:szCs w:val="24"/>
              </w:rPr>
              <w:t>中标人不按照招标文件和投标文件订立合同或订立背离合同实质性内容的其他协议。</w:t>
            </w:r>
          </w:p>
        </w:tc>
        <w:tc>
          <w:tcPr>
            <w:tcW w:w="889"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SX-T-WY-0</w:t>
            </w:r>
            <w:r>
              <w:rPr>
                <w:rFonts w:hint="eastAsia" w:ascii="宋体" w:hAnsi="宋体" w:cs="宋体"/>
                <w:b/>
                <w:spacing w:val="-4"/>
                <w:kern w:val="0"/>
                <w:sz w:val="24"/>
                <w:szCs w:val="24"/>
              </w:rPr>
              <w:t>6</w:t>
            </w:r>
            <w:r>
              <w:rPr>
                <w:rFonts w:ascii="宋体" w:hAnsi="宋体" w:cs="宋体"/>
                <w:b/>
                <w:spacing w:val="-4"/>
                <w:kern w:val="0"/>
                <w:sz w:val="24"/>
                <w:szCs w:val="24"/>
              </w:rPr>
              <w:t>-B</w:t>
            </w:r>
          </w:p>
        </w:tc>
        <w:tc>
          <w:tcPr>
            <w:tcW w:w="6640" w:type="dxa"/>
            <w:vAlign w:val="center"/>
          </w:tcPr>
          <w:p>
            <w:pPr>
              <w:widowControl/>
              <w:adjustRightInd w:val="0"/>
              <w:spacing w:after="0" w:line="300" w:lineRule="exact"/>
              <w:ind w:firstLine="0" w:firstLineChars="0"/>
              <w:rPr>
                <w:rFonts w:ascii="宋体" w:hAnsi="宋体" w:cs="宋体"/>
                <w:b/>
                <w:kern w:val="0"/>
                <w:sz w:val="24"/>
                <w:szCs w:val="24"/>
              </w:rPr>
            </w:pPr>
            <w:r>
              <w:rPr>
                <w:rFonts w:hint="eastAsia" w:ascii="宋体" w:hAnsi="宋体" w:cs="宋体"/>
                <w:b/>
                <w:kern w:val="0"/>
                <w:sz w:val="24"/>
                <w:szCs w:val="24"/>
              </w:rPr>
              <w:t>中标人签订合同时向招标人提出附加条件。</w:t>
            </w:r>
          </w:p>
        </w:tc>
        <w:tc>
          <w:tcPr>
            <w:tcW w:w="889"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SX-T-WY-0</w:t>
            </w:r>
            <w:r>
              <w:rPr>
                <w:rFonts w:hint="eastAsia" w:ascii="宋体" w:hAnsi="宋体" w:cs="宋体"/>
                <w:b/>
                <w:spacing w:val="-4"/>
                <w:kern w:val="0"/>
                <w:sz w:val="24"/>
                <w:szCs w:val="24"/>
              </w:rPr>
              <w:t>7-C</w:t>
            </w:r>
          </w:p>
        </w:tc>
        <w:tc>
          <w:tcPr>
            <w:tcW w:w="6640" w:type="dxa"/>
            <w:vAlign w:val="center"/>
          </w:tcPr>
          <w:p>
            <w:pPr>
              <w:widowControl/>
              <w:adjustRightInd w:val="0"/>
              <w:spacing w:after="0" w:line="300" w:lineRule="exact"/>
              <w:ind w:firstLine="0" w:firstLineChars="0"/>
              <w:rPr>
                <w:rFonts w:ascii="宋体" w:hAnsi="宋体" w:cs="宋体"/>
                <w:b/>
                <w:kern w:val="0"/>
                <w:sz w:val="24"/>
                <w:szCs w:val="24"/>
              </w:rPr>
            </w:pPr>
            <w:r>
              <w:rPr>
                <w:rFonts w:hint="eastAsia" w:ascii="宋体" w:hAnsi="宋体" w:cs="宋体"/>
                <w:b/>
                <w:kern w:val="0"/>
                <w:sz w:val="24"/>
                <w:szCs w:val="24"/>
              </w:rPr>
              <w:t>不按招标文件要求提交履约保证金。</w:t>
            </w:r>
          </w:p>
        </w:tc>
        <w:tc>
          <w:tcPr>
            <w:tcW w:w="889"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hint="eastAsia" w:ascii="宋体" w:hAnsi="宋体" w:cs="宋体"/>
                <w:b/>
                <w:kern w:val="0"/>
                <w:sz w:val="24"/>
                <w:szCs w:val="24"/>
              </w:rPr>
              <w:t>较重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hint="eastAsia" w:ascii="宋体" w:hAnsi="宋体" w:cs="宋体"/>
                <w:b/>
                <w:kern w:val="0"/>
                <w:sz w:val="24"/>
                <w:szCs w:val="24"/>
              </w:rPr>
              <w:t>4</w:t>
            </w:r>
          </w:p>
        </w:tc>
        <w:tc>
          <w:tcPr>
            <w:tcW w:w="1074" w:type="dxa"/>
            <w:vAlign w:val="center"/>
          </w:tcPr>
          <w:p>
            <w:pPr>
              <w:widowControl/>
              <w:adjustRightInd w:val="0"/>
              <w:spacing w:after="0" w:line="300" w:lineRule="exact"/>
              <w:ind w:firstLine="0" w:firstLineChars="0"/>
              <w:jc w:val="center"/>
              <w:rPr>
                <w:rFonts w:asci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SX-T-WY-08-X</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投标人中标后发生的其他违约行为。</w:t>
            </w:r>
          </w:p>
        </w:tc>
        <w:tc>
          <w:tcPr>
            <w:tcW w:w="1971" w:type="dxa"/>
            <w:gridSpan w:val="2"/>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根据具体性质和情节轻重确定等级并记基础分</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vAlign w:val="center"/>
          </w:tcPr>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干扰</w:t>
            </w:r>
          </w:p>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招标</w:t>
            </w:r>
          </w:p>
        </w:tc>
        <w:tc>
          <w:tcPr>
            <w:tcW w:w="1720" w:type="dxa"/>
            <w:vAlign w:val="center"/>
          </w:tcPr>
          <w:p>
            <w:pPr>
              <w:widowControl/>
              <w:adjustRightInd w:val="0"/>
              <w:spacing w:after="0" w:line="300" w:lineRule="exact"/>
              <w:ind w:firstLine="0" w:firstLineChars="0"/>
              <w:rPr>
                <w:rFonts w:ascii="宋体" w:cs="宋体"/>
                <w:b/>
                <w:spacing w:val="-4"/>
                <w:kern w:val="0"/>
                <w:sz w:val="24"/>
                <w:szCs w:val="24"/>
              </w:rPr>
            </w:pPr>
            <w:r>
              <w:rPr>
                <w:rFonts w:ascii="宋体" w:hAnsi="宋体" w:cs="宋体"/>
                <w:b/>
                <w:spacing w:val="-6"/>
                <w:kern w:val="0"/>
                <w:sz w:val="24"/>
                <w:szCs w:val="24"/>
              </w:rPr>
              <w:t>SX-T-GR-01-E</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投标人打听应保密的招标相关信息。</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较轻</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1</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SX-T-GR-02-E</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投标人私自向第三方泄露招标文件中涉及招标人秘密信息。</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较轻</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1</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SX-T-GR-03-D</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投标截止后，投标人无正当理由撤销投标文件。</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一般</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2</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SX-T-GR-04-C</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w:t>
            </w:r>
            <w:r>
              <w:rPr>
                <w:rFonts w:hint="eastAsia" w:ascii="宋体" w:hAnsi="宋体" w:cs="宋体"/>
                <w:b/>
                <w:spacing w:val="6"/>
                <w:kern w:val="0"/>
                <w:sz w:val="24"/>
                <w:szCs w:val="24"/>
              </w:rPr>
              <w:t>标人以可能影响合同履行、明显低于成本价等的异常低价竞标。</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较重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4</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SX-T-GR-05-C</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投标人发生合并、分立等重大变化，不再具备资格预审文件、招标文件规定的资格条件或者其投标影响招标公正性不及时告知招标人。</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较重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4</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SX-T-GR-06-C</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投标人处于被责令停业，投标资格被暂停或取消，财产被接管、冻结或破产等状态不及时告知招标人。</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较重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4</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SX-T-GR-07-C</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投标人干扰开标、评标工作正常秩序。</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较重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4</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SX-T-GR-08-C</w:t>
            </w:r>
          </w:p>
        </w:tc>
        <w:tc>
          <w:tcPr>
            <w:tcW w:w="6640" w:type="dxa"/>
            <w:vAlign w:val="center"/>
          </w:tcPr>
          <w:p>
            <w:pPr>
              <w:widowControl/>
              <w:adjustRightInd w:val="0"/>
              <w:spacing w:after="0" w:line="300" w:lineRule="exact"/>
              <w:ind w:firstLine="0" w:firstLineChars="0"/>
              <w:rPr>
                <w:rFonts w:ascii="宋体" w:hAnsi="宋体" w:cs="宋体"/>
                <w:b/>
                <w:kern w:val="0"/>
                <w:sz w:val="24"/>
                <w:szCs w:val="24"/>
              </w:rPr>
            </w:pPr>
            <w:r>
              <w:rPr>
                <w:rFonts w:hint="eastAsia" w:ascii="宋体" w:hAnsi="宋体" w:cs="宋体"/>
                <w:b/>
                <w:kern w:val="0"/>
                <w:sz w:val="24"/>
                <w:szCs w:val="24"/>
              </w:rPr>
              <w:t>投标文件出现同项目同一标段其他投标人的信息的。</w:t>
            </w:r>
          </w:p>
        </w:tc>
        <w:tc>
          <w:tcPr>
            <w:tcW w:w="889"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hint="eastAsia" w:ascii="宋体" w:hAnsi="宋体" w:cs="宋体"/>
                <w:b/>
                <w:kern w:val="0"/>
                <w:sz w:val="24"/>
                <w:szCs w:val="24"/>
              </w:rPr>
              <w:t>较重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hint="eastAsia" w:ascii="宋体" w:hAnsi="宋体" w:cs="宋体"/>
                <w:b/>
                <w:kern w:val="0"/>
                <w:sz w:val="24"/>
                <w:szCs w:val="24"/>
              </w:rPr>
              <w:t>4</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w:t>
            </w:r>
            <w:r>
              <w:rPr>
                <w:rFonts w:hint="eastAsia" w:ascii="宋体" w:hAnsi="宋体" w:cs="宋体"/>
                <w:b/>
                <w:spacing w:val="-4"/>
                <w:kern w:val="0"/>
                <w:sz w:val="24"/>
                <w:szCs w:val="24"/>
              </w:rPr>
              <w:t>GR</w:t>
            </w:r>
            <w:r>
              <w:rPr>
                <w:rFonts w:ascii="宋体" w:hAnsi="宋体" w:cs="宋体"/>
                <w:b/>
                <w:spacing w:val="-4"/>
                <w:kern w:val="0"/>
                <w:sz w:val="24"/>
                <w:szCs w:val="24"/>
              </w:rPr>
              <w:t>-0</w:t>
            </w:r>
            <w:r>
              <w:rPr>
                <w:rFonts w:hint="eastAsia" w:ascii="宋体" w:hAnsi="宋体" w:cs="宋体"/>
                <w:b/>
                <w:spacing w:val="-4"/>
                <w:kern w:val="0"/>
                <w:sz w:val="24"/>
                <w:szCs w:val="24"/>
              </w:rPr>
              <w:t>9</w:t>
            </w:r>
            <w:r>
              <w:rPr>
                <w:rFonts w:ascii="宋体" w:hAnsi="宋体" w:cs="宋体"/>
                <w:b/>
                <w:spacing w:val="-4"/>
                <w:kern w:val="0"/>
                <w:sz w:val="24"/>
                <w:szCs w:val="24"/>
              </w:rPr>
              <w:t>-B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投标人用威胁、恐吓或其他非法手段诋毁、阻止或排挤其他投标人公平竞争。</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SX-T-GR-</w:t>
            </w:r>
            <w:r>
              <w:rPr>
                <w:rFonts w:hint="eastAsia" w:ascii="宋体" w:hAnsi="宋体" w:cs="宋体"/>
                <w:b/>
                <w:spacing w:val="-4"/>
                <w:kern w:val="0"/>
                <w:sz w:val="24"/>
                <w:szCs w:val="24"/>
              </w:rPr>
              <w:t>10</w:t>
            </w:r>
            <w:r>
              <w:rPr>
                <w:rFonts w:ascii="宋体" w:hAnsi="宋体" w:cs="宋体"/>
                <w:b/>
                <w:spacing w:val="-4"/>
                <w:kern w:val="0"/>
                <w:sz w:val="24"/>
                <w:szCs w:val="24"/>
              </w:rPr>
              <w:t>-B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投标人用威胁、恐吓或其他非法手段诋毁招标人或者评标委员会成员。</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6"/>
                <w:kern w:val="0"/>
                <w:sz w:val="24"/>
                <w:szCs w:val="24"/>
              </w:rPr>
            </w:pPr>
            <w:r>
              <w:rPr>
                <w:rFonts w:ascii="宋体" w:hAnsi="宋体" w:cs="宋体"/>
                <w:b/>
                <w:spacing w:val="-6"/>
                <w:kern w:val="0"/>
                <w:sz w:val="24"/>
                <w:szCs w:val="24"/>
              </w:rPr>
              <w:t>SX-T-GR-</w:t>
            </w:r>
            <w:r>
              <w:rPr>
                <w:rFonts w:hint="eastAsia" w:ascii="宋体" w:hAnsi="宋体" w:cs="宋体"/>
                <w:b/>
                <w:spacing w:val="-6"/>
                <w:kern w:val="0"/>
                <w:sz w:val="24"/>
                <w:szCs w:val="24"/>
              </w:rPr>
              <w:t>11</w:t>
            </w:r>
            <w:r>
              <w:rPr>
                <w:rFonts w:ascii="宋体" w:hAnsi="宋体" w:cs="宋体"/>
                <w:b/>
                <w:spacing w:val="-6"/>
                <w:kern w:val="0"/>
                <w:sz w:val="24"/>
                <w:szCs w:val="24"/>
              </w:rPr>
              <w:t>-B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投标人以行贿或提供其他不正当利益等手段谋取中标。</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vAlign w:val="center"/>
          </w:tcPr>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干扰</w:t>
            </w:r>
          </w:p>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招标</w:t>
            </w:r>
          </w:p>
        </w:tc>
        <w:tc>
          <w:tcPr>
            <w:tcW w:w="1720" w:type="dxa"/>
            <w:vAlign w:val="center"/>
          </w:tcPr>
          <w:p>
            <w:pPr>
              <w:widowControl/>
              <w:adjustRightInd w:val="0"/>
              <w:spacing w:after="0" w:line="300" w:lineRule="exact"/>
              <w:ind w:firstLine="0" w:firstLineChars="0"/>
              <w:rPr>
                <w:rFonts w:ascii="宋体" w:hAnsi="宋体" w:cs="宋体"/>
                <w:b/>
                <w:spacing w:val="-10"/>
                <w:kern w:val="0"/>
                <w:sz w:val="24"/>
                <w:szCs w:val="24"/>
              </w:rPr>
            </w:pPr>
            <w:r>
              <w:rPr>
                <w:rFonts w:ascii="宋体" w:hAnsi="宋体" w:cs="宋体"/>
                <w:b/>
                <w:spacing w:val="-10"/>
                <w:kern w:val="0"/>
                <w:sz w:val="24"/>
                <w:szCs w:val="24"/>
              </w:rPr>
              <w:t>SX-T-GR-</w:t>
            </w:r>
            <w:r>
              <w:rPr>
                <w:rFonts w:hint="eastAsia" w:ascii="宋体" w:hAnsi="宋体" w:cs="宋体"/>
                <w:b/>
                <w:spacing w:val="-10"/>
                <w:kern w:val="0"/>
                <w:sz w:val="24"/>
                <w:szCs w:val="24"/>
              </w:rPr>
              <w:t>12</w:t>
            </w:r>
            <w:r>
              <w:rPr>
                <w:rFonts w:ascii="宋体" w:hAnsi="宋体" w:cs="宋体"/>
                <w:b/>
                <w:spacing w:val="-10"/>
                <w:kern w:val="0"/>
                <w:sz w:val="24"/>
                <w:szCs w:val="24"/>
              </w:rPr>
              <w:t>-B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投标人通过行政审批部门以任何形式指定或变相指定其提供中介服务的情形。</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6"/>
                <w:kern w:val="0"/>
                <w:sz w:val="24"/>
                <w:szCs w:val="24"/>
              </w:rPr>
            </w:pPr>
            <w:r>
              <w:rPr>
                <w:rFonts w:ascii="宋体" w:hAnsi="宋体" w:cs="宋体"/>
                <w:b/>
                <w:spacing w:val="-6"/>
                <w:kern w:val="0"/>
                <w:sz w:val="24"/>
                <w:szCs w:val="24"/>
              </w:rPr>
              <w:t>SX-T-GR-</w:t>
            </w:r>
            <w:r>
              <w:rPr>
                <w:rFonts w:hint="eastAsia" w:ascii="宋体" w:hAnsi="宋体" w:cs="宋体"/>
                <w:b/>
                <w:spacing w:val="-6"/>
                <w:kern w:val="0"/>
                <w:sz w:val="24"/>
                <w:szCs w:val="24"/>
              </w:rPr>
              <w:t>13</w:t>
            </w:r>
            <w:r>
              <w:rPr>
                <w:rFonts w:ascii="宋体" w:hAnsi="宋体" w:cs="宋体"/>
                <w:b/>
                <w:spacing w:val="-6"/>
                <w:kern w:val="0"/>
                <w:sz w:val="24"/>
                <w:szCs w:val="24"/>
              </w:rPr>
              <w:t>-C</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在调查异议有关情况时，投标人无正当理由不配合调查处理的。</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较重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4</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SX-T-GR-14-X</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投标人发生的其他干扰招标工作的失信行为。</w:t>
            </w:r>
          </w:p>
        </w:tc>
        <w:tc>
          <w:tcPr>
            <w:tcW w:w="1971" w:type="dxa"/>
            <w:gridSpan w:val="2"/>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根据具体性质和情节轻重确定等级并记基础分</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vAlign w:val="center"/>
          </w:tcPr>
          <w:p>
            <w:pPr>
              <w:widowControl/>
              <w:adjustRightInd w:val="0"/>
              <w:spacing w:after="0" w:line="300" w:lineRule="exact"/>
              <w:ind w:left="-158" w:leftChars="-50" w:right="-158" w:rightChars="-50" w:firstLine="0" w:firstLineChars="0"/>
              <w:jc w:val="center"/>
              <w:rPr>
                <w:rFonts w:ascii="宋体" w:cs="宋体"/>
                <w:b/>
                <w:bCs/>
                <w:kern w:val="0"/>
                <w:sz w:val="24"/>
                <w:szCs w:val="24"/>
              </w:rPr>
            </w:pPr>
            <w:r>
              <w:rPr>
                <w:rFonts w:hint="eastAsia" w:ascii="宋体" w:hAnsi="宋体" w:cs="宋体"/>
                <w:b/>
                <w:bCs/>
                <w:kern w:val="0"/>
                <w:sz w:val="24"/>
                <w:szCs w:val="24"/>
              </w:rPr>
              <w:t>不当</w:t>
            </w:r>
          </w:p>
          <w:p>
            <w:pPr>
              <w:widowControl/>
              <w:adjustRightInd w:val="0"/>
              <w:spacing w:after="0" w:line="300" w:lineRule="exact"/>
              <w:ind w:left="-158" w:leftChars="-50" w:right="-158" w:rightChars="-50" w:firstLine="0" w:firstLineChars="0"/>
              <w:jc w:val="center"/>
              <w:rPr>
                <w:rFonts w:ascii="宋体" w:cs="宋体"/>
                <w:b/>
                <w:bCs/>
                <w:kern w:val="0"/>
                <w:sz w:val="24"/>
                <w:szCs w:val="24"/>
              </w:rPr>
            </w:pPr>
            <w:r>
              <w:rPr>
                <w:rFonts w:hint="eastAsia" w:ascii="宋体" w:hAnsi="宋体" w:cs="宋体"/>
                <w:b/>
                <w:bCs/>
                <w:kern w:val="0"/>
                <w:sz w:val="24"/>
                <w:szCs w:val="24"/>
              </w:rPr>
              <w:t>异议</w:t>
            </w:r>
          </w:p>
          <w:p>
            <w:pPr>
              <w:widowControl/>
              <w:adjustRightInd w:val="0"/>
              <w:spacing w:after="0" w:line="300" w:lineRule="exact"/>
              <w:ind w:left="-158" w:leftChars="-50" w:right="-158" w:rightChars="-50" w:firstLine="0" w:firstLineChars="0"/>
              <w:jc w:val="center"/>
              <w:rPr>
                <w:rFonts w:ascii="宋体" w:cs="宋体"/>
                <w:b/>
                <w:bCs/>
                <w:kern w:val="0"/>
                <w:sz w:val="24"/>
                <w:szCs w:val="24"/>
              </w:rPr>
            </w:pPr>
            <w:r>
              <w:rPr>
                <w:rFonts w:hint="eastAsia" w:ascii="宋体" w:hAnsi="宋体" w:cs="宋体"/>
                <w:b/>
                <w:bCs/>
                <w:kern w:val="0"/>
                <w:sz w:val="24"/>
                <w:szCs w:val="24"/>
              </w:rPr>
              <w:t>（投诉）</w:t>
            </w:r>
          </w:p>
        </w:tc>
        <w:tc>
          <w:tcPr>
            <w:tcW w:w="1720" w:type="dxa"/>
            <w:vAlign w:val="center"/>
          </w:tcPr>
          <w:p>
            <w:pPr>
              <w:widowControl/>
              <w:adjustRightInd w:val="0"/>
              <w:spacing w:after="0" w:line="300" w:lineRule="exact"/>
              <w:ind w:firstLine="0" w:firstLineChars="0"/>
              <w:rPr>
                <w:rFonts w:ascii="宋体" w:hAnsi="宋体" w:cs="宋体"/>
                <w:b/>
                <w:spacing w:val="-6"/>
                <w:kern w:val="0"/>
                <w:sz w:val="24"/>
                <w:szCs w:val="24"/>
              </w:rPr>
            </w:pPr>
            <w:r>
              <w:rPr>
                <w:rFonts w:ascii="宋体" w:hAnsi="宋体" w:cs="宋体"/>
                <w:b/>
                <w:spacing w:val="-6"/>
                <w:kern w:val="0"/>
                <w:sz w:val="24"/>
                <w:szCs w:val="24"/>
              </w:rPr>
              <w:t>SX-T-YT-01-D</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没有必要的证据，仅凭主观臆断提出异议的。</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一般</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2</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SX-T-YT-02-C</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ascii="宋体" w:hAnsi="宋体" w:cs="宋体"/>
                <w:b/>
                <w:kern w:val="0"/>
                <w:sz w:val="24"/>
                <w:szCs w:val="24"/>
              </w:rPr>
              <w:t>6</w:t>
            </w:r>
            <w:r>
              <w:rPr>
                <w:rFonts w:hint="eastAsia" w:ascii="宋体" w:hAnsi="宋体" w:cs="宋体"/>
                <w:b/>
                <w:kern w:val="0"/>
                <w:sz w:val="24"/>
                <w:szCs w:val="24"/>
              </w:rPr>
              <w:t>个月内达到</w:t>
            </w:r>
            <w:r>
              <w:rPr>
                <w:rFonts w:ascii="宋体" w:hAnsi="宋体" w:cs="宋体"/>
                <w:b/>
                <w:kern w:val="0"/>
                <w:sz w:val="24"/>
                <w:szCs w:val="24"/>
              </w:rPr>
              <w:t>2</w:t>
            </w:r>
            <w:r>
              <w:rPr>
                <w:rFonts w:hint="eastAsia" w:ascii="宋体" w:hAnsi="宋体" w:cs="宋体"/>
                <w:b/>
                <w:kern w:val="0"/>
                <w:sz w:val="24"/>
                <w:szCs w:val="24"/>
              </w:rPr>
              <w:t>次及以上，或一年累计</w:t>
            </w:r>
            <w:r>
              <w:rPr>
                <w:rFonts w:ascii="宋体" w:hAnsi="宋体" w:cs="宋体"/>
                <w:b/>
                <w:kern w:val="0"/>
                <w:sz w:val="24"/>
                <w:szCs w:val="24"/>
              </w:rPr>
              <w:t>3</w:t>
            </w:r>
            <w:r>
              <w:rPr>
                <w:rFonts w:hint="eastAsia" w:ascii="宋体" w:hAnsi="宋体" w:cs="宋体"/>
                <w:b/>
                <w:kern w:val="0"/>
                <w:sz w:val="24"/>
                <w:szCs w:val="24"/>
              </w:rPr>
              <w:t>次及以上无效异议的，包括对投标人失信行为信息的异议。</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较重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4</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SX-T-YT-03-C</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不按规定的时限或程序提出异议的。</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较重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4</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SX-T-YT-0</w:t>
            </w:r>
            <w:r>
              <w:rPr>
                <w:rFonts w:hint="eastAsia" w:ascii="宋体" w:hAnsi="宋体" w:cs="宋体"/>
                <w:b/>
                <w:spacing w:val="-4"/>
                <w:kern w:val="0"/>
                <w:sz w:val="24"/>
                <w:szCs w:val="24"/>
              </w:rPr>
              <w:t>4</w:t>
            </w:r>
            <w:r>
              <w:rPr>
                <w:rFonts w:ascii="宋体" w:hAnsi="宋体" w:cs="宋体"/>
                <w:b/>
                <w:spacing w:val="-4"/>
                <w:kern w:val="0"/>
                <w:sz w:val="24"/>
                <w:szCs w:val="24"/>
              </w:rPr>
              <w:t>-C</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对已查明的事实不接受，无新事实证据重复提出的。</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较重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4</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SX-T-YT-0</w:t>
            </w:r>
            <w:r>
              <w:rPr>
                <w:rFonts w:hint="eastAsia" w:ascii="宋体" w:hAnsi="宋体" w:cs="宋体"/>
                <w:b/>
                <w:spacing w:val="-4"/>
                <w:kern w:val="0"/>
                <w:sz w:val="24"/>
                <w:szCs w:val="24"/>
              </w:rPr>
              <w:t>5</w:t>
            </w:r>
            <w:r>
              <w:rPr>
                <w:rFonts w:ascii="宋体" w:hAnsi="宋体" w:cs="宋体"/>
                <w:b/>
                <w:spacing w:val="-4"/>
                <w:kern w:val="0"/>
                <w:sz w:val="24"/>
                <w:szCs w:val="24"/>
              </w:rPr>
              <w:t>-B</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捏造事实、伪造材料或者以非法手段取得证明材料进行异议的；投标人假冒他人名义提出异议。</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8</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jc w:val="center"/>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SX-T-YT-06-X</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投标人发生的其他恶意异议行为。</w:t>
            </w:r>
          </w:p>
        </w:tc>
        <w:tc>
          <w:tcPr>
            <w:tcW w:w="1971" w:type="dxa"/>
            <w:gridSpan w:val="2"/>
            <w:vAlign w:val="center"/>
          </w:tcPr>
          <w:p>
            <w:pPr>
              <w:widowControl/>
              <w:adjustRightInd w:val="0"/>
              <w:spacing w:after="0" w:line="300" w:lineRule="exact"/>
              <w:ind w:firstLine="0" w:firstLineChars="0"/>
              <w:jc w:val="left"/>
              <w:rPr>
                <w:rFonts w:ascii="宋体" w:hAnsi="宋体" w:cs="宋体"/>
                <w:b/>
                <w:kern w:val="0"/>
                <w:sz w:val="24"/>
                <w:szCs w:val="24"/>
              </w:rPr>
            </w:pPr>
            <w:r>
              <w:rPr>
                <w:rFonts w:hint="eastAsia" w:ascii="宋体" w:hAnsi="宋体" w:cs="宋体"/>
                <w:b/>
                <w:kern w:val="0"/>
                <w:sz w:val="24"/>
                <w:szCs w:val="24"/>
              </w:rPr>
              <w:t>根据具体性质和情节轻重确定等级并记基础分</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Align w:val="center"/>
          </w:tcPr>
          <w:p>
            <w:pPr>
              <w:widowControl/>
              <w:adjustRightInd w:val="0"/>
              <w:spacing w:after="0" w:line="300" w:lineRule="exact"/>
              <w:ind w:firstLine="0" w:firstLineChars="0"/>
              <w:jc w:val="center"/>
              <w:rPr>
                <w:rFonts w:ascii="宋体" w:cs="宋体"/>
                <w:b/>
                <w:bCs/>
                <w:kern w:val="0"/>
                <w:sz w:val="24"/>
                <w:szCs w:val="24"/>
              </w:rPr>
            </w:pPr>
            <w:r>
              <w:rPr>
                <w:rFonts w:hint="eastAsia" w:ascii="宋体" w:hAnsi="宋体" w:cs="宋体"/>
                <w:b/>
                <w:bCs/>
                <w:kern w:val="0"/>
                <w:sz w:val="24"/>
                <w:szCs w:val="24"/>
              </w:rPr>
              <w:t>其他</w:t>
            </w: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SX-T-QT-01-X</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投标人发生的其他失信行为。</w:t>
            </w:r>
          </w:p>
        </w:tc>
        <w:tc>
          <w:tcPr>
            <w:tcW w:w="1971" w:type="dxa"/>
            <w:gridSpan w:val="2"/>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根据具体性质和情节轻重确定等级并记基础分</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12287" w:type="dxa"/>
            <w:gridSpan w:val="6"/>
            <w:vAlign w:val="center"/>
          </w:tcPr>
          <w:p>
            <w:pPr>
              <w:widowControl/>
              <w:adjustRightInd w:val="0"/>
              <w:spacing w:after="0" w:line="300" w:lineRule="exact"/>
              <w:ind w:firstLine="0" w:firstLineChars="0"/>
              <w:jc w:val="center"/>
              <w:rPr>
                <w:rFonts w:ascii="宋体" w:hAnsi="宋体" w:cs="宋体"/>
                <w:b/>
                <w:bCs/>
                <w:kern w:val="0"/>
                <w:sz w:val="24"/>
                <w:szCs w:val="24"/>
              </w:rPr>
            </w:pPr>
            <w:r>
              <w:rPr>
                <w:rFonts w:hint="eastAsia" w:ascii="宋体" w:hAnsi="宋体" w:cs="宋体"/>
                <w:b/>
                <w:bCs/>
                <w:kern w:val="0"/>
                <w:sz w:val="24"/>
                <w:szCs w:val="24"/>
              </w:rPr>
              <w:t>以上六类失信行为造成以下结果的，直接认定为特别严重失信行为，失信行为代码最后一位为</w:t>
            </w:r>
            <w:r>
              <w:rPr>
                <w:rFonts w:ascii="宋体" w:hAnsi="宋体" w:cs="宋体"/>
                <w:b/>
                <w:bCs/>
                <w:kern w:val="0"/>
                <w:sz w:val="24"/>
                <w:szCs w:val="24"/>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vAlign w:val="center"/>
          </w:tcPr>
          <w:p>
            <w:pPr>
              <w:widowControl/>
              <w:adjustRightInd w:val="0"/>
              <w:spacing w:after="0" w:line="300" w:lineRule="exact"/>
              <w:ind w:firstLine="0" w:firstLineChars="0"/>
              <w:jc w:val="center"/>
              <w:rPr>
                <w:rFonts w:ascii="宋体" w:hAns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6"/>
                <w:kern w:val="0"/>
                <w:sz w:val="24"/>
                <w:szCs w:val="24"/>
              </w:rPr>
            </w:pPr>
            <w:r>
              <w:rPr>
                <w:rFonts w:ascii="宋体" w:hAnsi="宋体" w:cs="宋体"/>
                <w:b/>
                <w:spacing w:val="-6"/>
                <w:kern w:val="0"/>
                <w:sz w:val="24"/>
                <w:szCs w:val="24"/>
              </w:rPr>
              <w:t>SX-T-TB-01-A</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给招标人造成</w:t>
            </w:r>
            <w:r>
              <w:rPr>
                <w:rFonts w:ascii="宋体" w:hAnsi="宋体" w:cs="宋体"/>
                <w:b/>
                <w:kern w:val="0"/>
                <w:sz w:val="24"/>
                <w:szCs w:val="24"/>
              </w:rPr>
              <w:t>100</w:t>
            </w:r>
            <w:r>
              <w:rPr>
                <w:rFonts w:hint="eastAsia" w:ascii="宋体" w:hAnsi="宋体" w:cs="宋体"/>
                <w:b/>
                <w:kern w:val="0"/>
                <w:sz w:val="24"/>
                <w:szCs w:val="24"/>
              </w:rPr>
              <w:t>万元及以上经济损失的。</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特别严重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10</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SX-T-TB-02-A</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导致招标项目延期，严重影响项目实施的。</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特别严重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10</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5" w:type="dxa"/>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vAlign w:val="center"/>
          </w:tcPr>
          <w:p>
            <w:pPr>
              <w:widowControl/>
              <w:adjustRightInd w:val="0"/>
              <w:spacing w:after="0" w:line="300" w:lineRule="exact"/>
              <w:ind w:firstLine="0" w:firstLineChars="0"/>
              <w:rPr>
                <w:rFonts w:ascii="宋体" w:cs="宋体"/>
                <w:b/>
                <w:bCs/>
                <w:kern w:val="0"/>
                <w:sz w:val="24"/>
                <w:szCs w:val="24"/>
              </w:rPr>
            </w:pPr>
          </w:p>
        </w:tc>
        <w:tc>
          <w:tcPr>
            <w:tcW w:w="1720" w:type="dxa"/>
            <w:vAlign w:val="center"/>
          </w:tcPr>
          <w:p>
            <w:pPr>
              <w:widowControl/>
              <w:adjustRightInd w:val="0"/>
              <w:spacing w:after="0" w:line="300" w:lineRule="exact"/>
              <w:ind w:firstLine="0" w:firstLineChars="0"/>
              <w:rPr>
                <w:rFonts w:ascii="宋体" w:hAnsi="宋体" w:cs="宋体"/>
                <w:b/>
                <w:spacing w:val="-4"/>
                <w:kern w:val="0"/>
                <w:sz w:val="24"/>
                <w:szCs w:val="24"/>
              </w:rPr>
            </w:pPr>
            <w:r>
              <w:rPr>
                <w:rFonts w:ascii="宋体" w:hAnsi="宋体" w:cs="宋体"/>
                <w:b/>
                <w:spacing w:val="-4"/>
                <w:kern w:val="0"/>
                <w:sz w:val="24"/>
                <w:szCs w:val="24"/>
              </w:rPr>
              <w:t>SX-T-TB-03-A</w:t>
            </w:r>
          </w:p>
        </w:tc>
        <w:tc>
          <w:tcPr>
            <w:tcW w:w="6640" w:type="dxa"/>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给招标人信誉、形象等造成重大负面影响的。</w:t>
            </w:r>
          </w:p>
        </w:tc>
        <w:tc>
          <w:tcPr>
            <w:tcW w:w="889" w:type="dxa"/>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特别严重</w:t>
            </w:r>
          </w:p>
        </w:tc>
        <w:tc>
          <w:tcPr>
            <w:tcW w:w="1082"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10</w:t>
            </w:r>
          </w:p>
        </w:tc>
        <w:tc>
          <w:tcPr>
            <w:tcW w:w="1074" w:type="dxa"/>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5" w:type="dxa"/>
            <w:tcBorders>
              <w:bottom w:val="single" w:color="auto" w:sz="8" w:space="0"/>
            </w:tcBorders>
            <w:vAlign w:val="center"/>
          </w:tcPr>
          <w:p>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continue"/>
            <w:tcBorders>
              <w:bottom w:val="single" w:color="auto" w:sz="8" w:space="0"/>
            </w:tcBorders>
            <w:vAlign w:val="center"/>
          </w:tcPr>
          <w:p>
            <w:pPr>
              <w:widowControl/>
              <w:adjustRightInd w:val="0"/>
              <w:spacing w:after="0" w:line="300" w:lineRule="exact"/>
              <w:ind w:firstLine="0" w:firstLineChars="0"/>
              <w:rPr>
                <w:rFonts w:ascii="宋体" w:cs="宋体"/>
                <w:b/>
                <w:bCs/>
                <w:kern w:val="0"/>
                <w:sz w:val="24"/>
                <w:szCs w:val="24"/>
              </w:rPr>
            </w:pPr>
          </w:p>
        </w:tc>
        <w:tc>
          <w:tcPr>
            <w:tcW w:w="1720" w:type="dxa"/>
            <w:tcBorders>
              <w:bottom w:val="single" w:color="auto" w:sz="8" w:space="0"/>
            </w:tcBorders>
            <w:vAlign w:val="center"/>
          </w:tcPr>
          <w:p>
            <w:pPr>
              <w:widowControl/>
              <w:adjustRightInd w:val="0"/>
              <w:spacing w:after="0" w:line="300" w:lineRule="exact"/>
              <w:ind w:firstLine="0" w:firstLineChars="0"/>
              <w:rPr>
                <w:rFonts w:ascii="宋体" w:hAnsi="宋体" w:cs="宋体"/>
                <w:b/>
                <w:kern w:val="0"/>
                <w:sz w:val="24"/>
                <w:szCs w:val="24"/>
              </w:rPr>
            </w:pPr>
            <w:r>
              <w:rPr>
                <w:rFonts w:ascii="宋体" w:hAnsi="宋体" w:cs="宋体"/>
                <w:b/>
                <w:kern w:val="0"/>
                <w:sz w:val="24"/>
                <w:szCs w:val="24"/>
              </w:rPr>
              <w:t>SX-T-TB-04-A</w:t>
            </w:r>
          </w:p>
        </w:tc>
        <w:tc>
          <w:tcPr>
            <w:tcW w:w="6640" w:type="dxa"/>
            <w:tcBorders>
              <w:bottom w:val="single" w:color="auto" w:sz="8" w:space="0"/>
            </w:tcBorders>
            <w:vAlign w:val="center"/>
          </w:tcPr>
          <w:p>
            <w:pPr>
              <w:widowControl/>
              <w:adjustRightInd w:val="0"/>
              <w:spacing w:after="0" w:line="300" w:lineRule="exact"/>
              <w:ind w:firstLine="0" w:firstLineChars="0"/>
              <w:rPr>
                <w:rFonts w:ascii="宋体" w:cs="宋体"/>
                <w:b/>
                <w:kern w:val="0"/>
                <w:sz w:val="24"/>
                <w:szCs w:val="24"/>
              </w:rPr>
            </w:pPr>
            <w:r>
              <w:rPr>
                <w:rFonts w:hint="eastAsia" w:ascii="宋体" w:hAnsi="宋体" w:cs="宋体"/>
                <w:b/>
                <w:kern w:val="0"/>
                <w:sz w:val="24"/>
                <w:szCs w:val="24"/>
              </w:rPr>
              <w:t>造成其他特别严重后果的。</w:t>
            </w:r>
          </w:p>
        </w:tc>
        <w:tc>
          <w:tcPr>
            <w:tcW w:w="889" w:type="dxa"/>
            <w:tcBorders>
              <w:bottom w:val="single" w:color="auto" w:sz="8" w:space="0"/>
            </w:tcBorders>
            <w:vAlign w:val="center"/>
          </w:tcPr>
          <w:p>
            <w:pPr>
              <w:widowControl/>
              <w:adjustRightInd w:val="0"/>
              <w:spacing w:after="0" w:line="300" w:lineRule="exact"/>
              <w:ind w:firstLine="0" w:firstLineChars="0"/>
              <w:jc w:val="center"/>
              <w:rPr>
                <w:rFonts w:ascii="宋体" w:cs="宋体"/>
                <w:b/>
                <w:kern w:val="0"/>
                <w:sz w:val="24"/>
                <w:szCs w:val="24"/>
              </w:rPr>
            </w:pPr>
            <w:r>
              <w:rPr>
                <w:rFonts w:hint="eastAsia" w:ascii="宋体" w:hAnsi="宋体" w:cs="宋体"/>
                <w:b/>
                <w:kern w:val="0"/>
                <w:sz w:val="24"/>
                <w:szCs w:val="24"/>
              </w:rPr>
              <w:t>特别严重</w:t>
            </w:r>
          </w:p>
        </w:tc>
        <w:tc>
          <w:tcPr>
            <w:tcW w:w="1082" w:type="dxa"/>
            <w:tcBorders>
              <w:bottom w:val="single" w:color="auto" w:sz="8" w:space="0"/>
            </w:tcBorders>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10</w:t>
            </w:r>
          </w:p>
        </w:tc>
        <w:tc>
          <w:tcPr>
            <w:tcW w:w="1074" w:type="dxa"/>
            <w:tcBorders>
              <w:bottom w:val="single" w:color="auto" w:sz="8" w:space="0"/>
            </w:tcBorders>
            <w:vAlign w:val="center"/>
          </w:tcPr>
          <w:p>
            <w:pPr>
              <w:widowControl/>
              <w:adjustRightInd w:val="0"/>
              <w:spacing w:after="0" w:line="300" w:lineRule="exact"/>
              <w:ind w:firstLine="0" w:firstLineChars="0"/>
              <w:jc w:val="center"/>
              <w:rPr>
                <w:rFonts w:ascii="宋体" w:hAnsi="宋体" w:cs="宋体"/>
                <w:b/>
                <w:kern w:val="0"/>
                <w:sz w:val="24"/>
                <w:szCs w:val="24"/>
              </w:rPr>
            </w:pPr>
            <w:r>
              <w:rPr>
                <w:rFonts w:ascii="宋体" w:hAnsi="宋体" w:cs="宋体"/>
                <w:b/>
                <w:kern w:val="0"/>
                <w:sz w:val="24"/>
                <w:szCs w:val="24"/>
              </w:rPr>
              <w:t>/</w:t>
            </w:r>
          </w:p>
        </w:tc>
      </w:tr>
    </w:tbl>
    <w:p>
      <w:pPr>
        <w:ind w:left="680" w:firstLine="0" w:firstLineChars="0"/>
        <w:rPr>
          <w:rFonts w:ascii="仿宋" w:hAnsi="仿宋" w:eastAsia="仿宋"/>
          <w:b/>
        </w:rPr>
      </w:pPr>
    </w:p>
    <w:p>
      <w:pPr>
        <w:ind w:firstLine="634"/>
        <w:rPr>
          <w:rFonts w:ascii="仿宋" w:hAnsi="仿宋" w:eastAsia="仿宋"/>
          <w:b/>
        </w:rPr>
        <w:sectPr>
          <w:footerReference r:id="rId11" w:type="default"/>
          <w:pgSz w:w="16838" w:h="11906" w:orient="landscape"/>
          <w:pgMar w:top="1474" w:right="1418" w:bottom="1474" w:left="1418" w:header="851" w:footer="907" w:gutter="0"/>
          <w:pgNumType w:fmt="decimal" w:start="12"/>
          <w:cols w:space="0" w:num="1"/>
          <w:rtlGutter w:val="0"/>
          <w:docGrid w:type="linesAndChars" w:linePitch="579" w:charSpace="-849"/>
        </w:sectPr>
      </w:pPr>
    </w:p>
    <w:p>
      <w:pPr>
        <w:keepNext w:val="0"/>
        <w:keepLines w:val="0"/>
        <w:pageBreakBefore w:val="0"/>
        <w:widowControl w:val="0"/>
        <w:kinsoku/>
        <w:wordWrap/>
        <w:overflowPunct w:val="0"/>
        <w:topLinePunct w:val="0"/>
        <w:autoSpaceDE/>
        <w:autoSpaceDN/>
        <w:bidi w:val="0"/>
        <w:adjustRightInd w:val="0"/>
        <w:snapToGrid/>
        <w:spacing w:after="0" w:line="500" w:lineRule="exact"/>
        <w:ind w:firstLine="0" w:firstLineChars="0"/>
        <w:textAlignment w:val="auto"/>
        <w:rPr>
          <w:rFonts w:ascii="方正黑体简体" w:eastAsia="方正黑体简体" w:cs="黑体"/>
          <w:b w:val="0"/>
          <w:bCs/>
        </w:rPr>
      </w:pPr>
      <w:r>
        <w:rPr>
          <w:rFonts w:hint="eastAsia" w:ascii="方正黑体简体" w:eastAsia="方正黑体简体" w:cs="黑体"/>
          <w:b w:val="0"/>
          <w:bCs/>
        </w:rPr>
        <w:t>附件2</w:t>
      </w:r>
    </w:p>
    <w:p>
      <w:pPr>
        <w:keepNext w:val="0"/>
        <w:keepLines w:val="0"/>
        <w:pageBreakBefore w:val="0"/>
        <w:widowControl w:val="0"/>
        <w:kinsoku/>
        <w:wordWrap/>
        <w:overflowPunct w:val="0"/>
        <w:topLinePunct w:val="0"/>
        <w:autoSpaceDE/>
        <w:autoSpaceDN/>
        <w:bidi w:val="0"/>
        <w:adjustRightInd w:val="0"/>
        <w:snapToGrid/>
        <w:spacing w:after="0" w:line="500" w:lineRule="exact"/>
        <w:ind w:firstLine="0" w:firstLineChars="0"/>
        <w:textAlignment w:val="auto"/>
        <w:rPr>
          <w:rFonts w:ascii="方正黑体简体" w:eastAsia="方正黑体简体" w:cs="黑体"/>
          <w:b/>
        </w:rPr>
      </w:pPr>
    </w:p>
    <w:p>
      <w:pPr>
        <w:keepNext w:val="0"/>
        <w:keepLines w:val="0"/>
        <w:pageBreakBefore w:val="0"/>
        <w:widowControl w:val="0"/>
        <w:kinsoku/>
        <w:wordWrap/>
        <w:overflowPunct w:val="0"/>
        <w:topLinePunct w:val="0"/>
        <w:autoSpaceDE/>
        <w:autoSpaceDN/>
        <w:bidi w:val="0"/>
        <w:adjustRightInd w:val="0"/>
        <w:snapToGrid/>
        <w:spacing w:after="0" w:line="640" w:lineRule="exact"/>
        <w:ind w:firstLine="0" w:firstLineChars="0"/>
        <w:jc w:val="center"/>
        <w:textAlignment w:val="auto"/>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投标人失信行为告知函</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80" w:firstLineChars="200"/>
        <w:jc w:val="both"/>
        <w:textAlignment w:val="auto"/>
        <w:rPr>
          <w:rFonts w:ascii="方正黑体简体" w:eastAsia="方正黑体简体" w:cs="黑体"/>
          <w:b/>
        </w:rPr>
      </w:pPr>
    </w:p>
    <w:p>
      <w:pPr>
        <w:keepNext w:val="0"/>
        <w:keepLines w:val="0"/>
        <w:pageBreakBefore w:val="0"/>
        <w:widowControl w:val="0"/>
        <w:kinsoku/>
        <w:wordWrap/>
        <w:overflowPunct w:val="0"/>
        <w:topLinePunct w:val="0"/>
        <w:autoSpaceDE/>
        <w:autoSpaceDN/>
        <w:bidi w:val="0"/>
        <w:adjustRightInd w:val="0"/>
        <w:snapToGrid/>
        <w:spacing w:after="0" w:line="560" w:lineRule="atLeast"/>
        <w:ind w:left="0" w:leftChars="0" w:firstLine="0" w:firstLineChars="0"/>
        <w:jc w:val="both"/>
        <w:textAlignment w:val="auto"/>
        <w:rPr>
          <w:rFonts w:ascii="方正仿宋简体" w:hAnsi="方正仿宋简体" w:eastAsia="方正仿宋简体" w:cs="方正仿宋简体"/>
          <w:b/>
        </w:rPr>
      </w:pPr>
      <w:r>
        <w:rPr>
          <w:rFonts w:hint="eastAsia" w:ascii="方正仿宋简体" w:hAnsi="方正仿宋简体" w:eastAsia="方正仿宋简体" w:cs="方正仿宋简体"/>
          <w:b/>
        </w:rPr>
        <w:t>投标人名称：</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80" w:firstLineChars="200"/>
        <w:jc w:val="both"/>
        <w:textAlignment w:val="auto"/>
        <w:rPr>
          <w:rFonts w:ascii="方正仿宋简体" w:hAnsi="方正仿宋简体" w:eastAsia="方正仿宋简体" w:cs="方正仿宋简体"/>
          <w:b/>
        </w:rPr>
      </w:pPr>
      <w:r>
        <w:rPr>
          <w:rFonts w:hint="eastAsia" w:ascii="方正仿宋简体" w:hAnsi="方正仿宋简体" w:eastAsia="方正仿宋简体" w:cs="方正仿宋简体"/>
          <w:b/>
        </w:rPr>
        <w:t>贵公司（单位）在xx所属企业xx项目（招标编号）招标过程中，具有 （失信行为描述）失信行为，根据《中国石油天然气股份有限公司投标人失信行为管理办法》规定进行惩戒，记xx分，（相应的惩戒措施） 。</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80" w:firstLineChars="200"/>
        <w:jc w:val="both"/>
        <w:textAlignment w:val="auto"/>
        <w:rPr>
          <w:rFonts w:ascii="方正仿宋简体" w:hAnsi="方正仿宋简体" w:eastAsia="方正仿宋简体" w:cs="方正仿宋简体"/>
          <w:b/>
        </w:rPr>
      </w:pPr>
      <w:r>
        <w:rPr>
          <w:rFonts w:hint="eastAsia" w:ascii="方正仿宋简体" w:hAnsi="方正仿宋简体" w:eastAsia="方正仿宋简体" w:cs="方正仿宋简体"/>
          <w:b/>
        </w:rPr>
        <w:t>如有异议，请于收到本告知函之日起3个工作日内（年月日前）以书面形式提出，并附相关证据，否则不予受理。未在规定时间内或规定形式提出异议，视为贵公司（单位）对该失信行为的认定无异议。</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80" w:firstLineChars="200"/>
        <w:jc w:val="both"/>
        <w:textAlignment w:val="auto"/>
        <w:rPr>
          <w:rFonts w:ascii="方正仿宋简体" w:hAnsi="方正仿宋简体" w:eastAsia="方正仿宋简体" w:cs="方正仿宋简体"/>
          <w:b/>
        </w:rPr>
      </w:pPr>
      <w:r>
        <w:rPr>
          <w:rFonts w:hint="eastAsia" w:ascii="方正仿宋简体" w:hAnsi="方正仿宋简体" w:eastAsia="方正仿宋简体" w:cs="方正仿宋简体"/>
          <w:b/>
        </w:rPr>
        <w:t>特此函告。</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80" w:firstLineChars="200"/>
        <w:jc w:val="both"/>
        <w:textAlignment w:val="auto"/>
        <w:rPr>
          <w:rFonts w:ascii="方正仿宋简体" w:hAnsi="方正仿宋简体" w:eastAsia="方正仿宋简体" w:cs="方正仿宋简体"/>
          <w:b/>
        </w:rPr>
      </w:pP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80" w:firstLineChars="200"/>
        <w:jc w:val="both"/>
        <w:textAlignment w:val="auto"/>
        <w:rPr>
          <w:rFonts w:ascii="方正仿宋简体" w:hAnsi="方正仿宋简体" w:eastAsia="方正仿宋简体" w:cs="方正仿宋简体"/>
          <w:b/>
        </w:rPr>
      </w:pP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80" w:firstLineChars="200"/>
        <w:jc w:val="both"/>
        <w:textAlignment w:val="auto"/>
        <w:rPr>
          <w:rFonts w:ascii="方正仿宋简体" w:hAnsi="方正仿宋简体" w:eastAsia="方正仿宋简体" w:cs="方正仿宋简体"/>
          <w:b/>
        </w:rPr>
      </w:pPr>
    </w:p>
    <w:p>
      <w:pPr>
        <w:keepNext w:val="0"/>
        <w:keepLines w:val="0"/>
        <w:pageBreakBefore w:val="0"/>
        <w:widowControl w:val="0"/>
        <w:kinsoku/>
        <w:wordWrap/>
        <w:overflowPunct w:val="0"/>
        <w:topLinePunct w:val="0"/>
        <w:autoSpaceDE/>
        <w:autoSpaceDN/>
        <w:bidi w:val="0"/>
        <w:adjustRightInd w:val="0"/>
        <w:snapToGrid/>
        <w:spacing w:after="0" w:line="560" w:lineRule="atLeast"/>
        <w:ind w:right="0" w:rightChars="0" w:firstLine="680" w:firstLineChars="200"/>
        <w:jc w:val="right"/>
        <w:textAlignment w:val="auto"/>
        <w:rPr>
          <w:rFonts w:ascii="方正仿宋简体" w:hAnsi="方正仿宋简体" w:eastAsia="方正仿宋简体" w:cs="方正仿宋简体"/>
          <w:b/>
        </w:rPr>
      </w:pPr>
      <w:r>
        <w:rPr>
          <w:rFonts w:hint="eastAsia" w:ascii="方正仿宋简体" w:hAnsi="方正仿宋简体" w:eastAsia="方正仿宋简体" w:cs="方正仿宋简体"/>
          <w:b/>
        </w:rPr>
        <w:t>招标人或其委托的招标专业机构（加盖公章）</w:t>
      </w:r>
    </w:p>
    <w:p>
      <w:pPr>
        <w:keepNext w:val="0"/>
        <w:keepLines w:val="0"/>
        <w:pageBreakBefore w:val="0"/>
        <w:widowControl w:val="0"/>
        <w:kinsoku/>
        <w:wordWrap/>
        <w:overflowPunct w:val="0"/>
        <w:topLinePunct w:val="0"/>
        <w:autoSpaceDE/>
        <w:autoSpaceDN/>
        <w:bidi w:val="0"/>
        <w:adjustRightInd w:val="0"/>
        <w:snapToGrid/>
        <w:spacing w:after="0" w:line="560" w:lineRule="atLeast"/>
        <w:ind w:right="2342" w:rightChars="689" w:firstLine="680" w:firstLineChars="200"/>
        <w:jc w:val="right"/>
        <w:textAlignment w:val="auto"/>
        <w:rPr>
          <w:rFonts w:ascii="方正黑体简体" w:eastAsia="方正黑体简体" w:cs="黑体"/>
          <w:b/>
        </w:rPr>
        <w:sectPr>
          <w:headerReference r:id="rId12" w:type="default"/>
          <w:footerReference r:id="rId13" w:type="default"/>
          <w:pgSz w:w="11906" w:h="16838"/>
          <w:pgMar w:top="2098" w:right="1474" w:bottom="1984" w:left="1587" w:header="851" w:footer="1474" w:gutter="0"/>
          <w:pgNumType w:fmt="decimal"/>
          <w:cols w:space="0" w:num="1"/>
          <w:docGrid w:type="linesAndChars" w:linePitch="579" w:charSpace="4135"/>
        </w:sectPr>
      </w:pPr>
      <w:r>
        <w:rPr>
          <w:rFonts w:hint="eastAsia" w:ascii="方正仿宋简体" w:hAnsi="方正仿宋简体" w:eastAsia="方正仿宋简体" w:cs="方正仿宋简体"/>
          <w:b/>
        </w:rPr>
        <w:t xml:space="preserve">年 </w:t>
      </w:r>
      <w:r>
        <w:rPr>
          <w:rFonts w:hint="default" w:ascii="方正仿宋简体" w:hAnsi="方正仿宋简体" w:eastAsia="方正仿宋简体" w:cs="方正仿宋简体"/>
          <w:b/>
          <w:lang w:val="en-US"/>
        </w:rPr>
        <w:t xml:space="preserve">  </w:t>
      </w:r>
      <w:r>
        <w:rPr>
          <w:rFonts w:hint="eastAsia" w:ascii="方正仿宋简体" w:hAnsi="方正仿宋简体" w:eastAsia="方正仿宋简体" w:cs="方正仿宋简体"/>
          <w:b/>
        </w:rPr>
        <w:t xml:space="preserve"> 月</w:t>
      </w:r>
      <w:r>
        <w:rPr>
          <w:rFonts w:hint="default" w:ascii="方正仿宋简体" w:hAnsi="方正仿宋简体" w:eastAsia="方正仿宋简体" w:cs="方正仿宋简体"/>
          <w:b/>
          <w:lang w:val="en-US"/>
        </w:rPr>
        <w:t xml:space="preserve">  </w:t>
      </w:r>
      <w:r>
        <w:rPr>
          <w:rFonts w:hint="eastAsia" w:ascii="方正仿宋简体" w:hAnsi="方正仿宋简体" w:eastAsia="方正仿宋简体" w:cs="方正仿宋简体"/>
          <w:b/>
        </w:rPr>
        <w:t xml:space="preserve">  日</w:t>
      </w:r>
    </w:p>
    <w:p>
      <w:pPr>
        <w:overflowPunct w:val="0"/>
        <w:adjustRightInd w:val="0"/>
        <w:spacing w:line="400" w:lineRule="exact"/>
        <w:ind w:firstLine="0" w:firstLineChars="0"/>
        <w:rPr>
          <w:rFonts w:ascii="方正黑体简体" w:eastAsia="方正黑体简体" w:cs="黑体"/>
          <w:b w:val="0"/>
          <w:bCs/>
        </w:rPr>
      </w:pPr>
      <w:r>
        <w:rPr>
          <w:rFonts w:hint="eastAsia" w:ascii="方正黑体简体" w:eastAsia="方正黑体简体" w:cs="黑体"/>
          <w:b w:val="0"/>
          <w:bCs/>
        </w:rPr>
        <w:t>附件3</w:t>
      </w:r>
    </w:p>
    <w:p>
      <w:pPr>
        <w:overflowPunct w:val="0"/>
        <w:adjustRightInd w:val="0"/>
        <w:spacing w:after="173" w:afterLines="30" w:line="640" w:lineRule="exact"/>
        <w:ind w:firstLine="0" w:firstLineChars="0"/>
        <w:jc w:val="center"/>
        <w:rPr>
          <w:rFonts w:ascii="黑体" w:eastAsia="黑体"/>
          <w:b/>
          <w:sz w:val="28"/>
          <w:szCs w:val="28"/>
        </w:rPr>
      </w:pPr>
      <w:r>
        <w:rPr>
          <w:rFonts w:hint="eastAsia" w:ascii="方正小标宋简体" w:eastAsia="方正小标宋简体" w:cs="黑体"/>
          <w:b/>
          <w:sz w:val="44"/>
          <w:szCs w:val="44"/>
        </w:rPr>
        <w:t>投标人失信行为审核表</w:t>
      </w:r>
    </w:p>
    <w:tbl>
      <w:tblPr>
        <w:tblStyle w:val="12"/>
        <w:tblW w:w="88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1553"/>
        <w:gridCol w:w="652"/>
        <w:gridCol w:w="72"/>
        <w:gridCol w:w="1296"/>
        <w:gridCol w:w="837"/>
        <w:gridCol w:w="145"/>
        <w:gridCol w:w="20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宋体"/>
                <w:b/>
                <w:sz w:val="24"/>
                <w:szCs w:val="24"/>
              </w:rPr>
            </w:pPr>
            <w:r>
              <w:rPr>
                <w:rFonts w:hint="eastAsia" w:ascii="Calibri" w:hAnsi="Calibri" w:cs="宋体"/>
                <w:b/>
                <w:sz w:val="24"/>
                <w:szCs w:val="24"/>
              </w:rPr>
              <w:t>项目名称</w:t>
            </w:r>
          </w:p>
        </w:tc>
        <w:tc>
          <w:tcPr>
            <w:tcW w:w="6615" w:type="dxa"/>
            <w:gridSpan w:val="7"/>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提交单位</w:t>
            </w:r>
          </w:p>
        </w:tc>
        <w:tc>
          <w:tcPr>
            <w:tcW w:w="6615" w:type="dxa"/>
            <w:gridSpan w:val="7"/>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提交单位联系人</w:t>
            </w:r>
          </w:p>
        </w:tc>
        <w:tc>
          <w:tcPr>
            <w:tcW w:w="2205" w:type="dxa"/>
            <w:gridSpan w:val="2"/>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c>
          <w:tcPr>
            <w:tcW w:w="2205" w:type="dxa"/>
            <w:gridSpan w:val="3"/>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联系电话</w:t>
            </w:r>
          </w:p>
        </w:tc>
        <w:tc>
          <w:tcPr>
            <w:tcW w:w="2205" w:type="dxa"/>
            <w:gridSpan w:val="2"/>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0" w:type="dxa"/>
            <w:gridSpan w:val="8"/>
            <w:vAlign w:val="center"/>
          </w:tcPr>
          <w:p>
            <w:pPr>
              <w:keepNext w:val="0"/>
              <w:keepLines w:val="0"/>
              <w:pageBreakBefore w:val="0"/>
              <w:widowControl w:val="0"/>
              <w:kinsoku/>
              <w:wordWrap/>
              <w:overflowPunct/>
              <w:topLinePunct w:val="0"/>
              <w:autoSpaceDE/>
              <w:autoSpaceDN/>
              <w:bidi w:val="0"/>
              <w:adjustRightInd w:val="0"/>
              <w:snapToGrid/>
              <w:spacing w:after="0" w:line="360" w:lineRule="exact"/>
              <w:ind w:firstLine="0" w:firstLineChars="0"/>
              <w:jc w:val="center"/>
              <w:textAlignment w:val="auto"/>
              <w:rPr>
                <w:rFonts w:ascii="方正小标宋简体" w:hAnsi="Calibri" w:eastAsia="方正小标宋简体"/>
                <w:b/>
              </w:rPr>
            </w:pPr>
            <w:r>
              <w:rPr>
                <w:rFonts w:hint="eastAsia" w:ascii="方正小标宋简体" w:hAnsi="Calibri" w:eastAsia="方正小标宋简体" w:cs="方正小标宋简体"/>
                <w:b/>
                <w:sz w:val="28"/>
                <w:szCs w:val="28"/>
              </w:rPr>
              <w:t>失信行为人情况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失信行为人名称</w:t>
            </w:r>
          </w:p>
        </w:tc>
        <w:tc>
          <w:tcPr>
            <w:tcW w:w="6615" w:type="dxa"/>
            <w:gridSpan w:val="7"/>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pacing w:val="-11"/>
                <w:sz w:val="24"/>
                <w:szCs w:val="24"/>
              </w:rPr>
              <w:t>社会统一信用代码</w:t>
            </w:r>
          </w:p>
        </w:tc>
        <w:tc>
          <w:tcPr>
            <w:tcW w:w="6615" w:type="dxa"/>
            <w:gridSpan w:val="7"/>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205"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法定代表人</w:t>
            </w:r>
          </w:p>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（负责人）</w:t>
            </w:r>
          </w:p>
        </w:tc>
        <w:tc>
          <w:tcPr>
            <w:tcW w:w="1553"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c>
          <w:tcPr>
            <w:tcW w:w="2020" w:type="dxa"/>
            <w:gridSpan w:val="3"/>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宋体"/>
                <w:b/>
                <w:sz w:val="24"/>
                <w:szCs w:val="24"/>
              </w:rPr>
            </w:pPr>
            <w:r>
              <w:rPr>
                <w:rFonts w:hint="eastAsia" w:ascii="Calibri" w:hAnsi="Calibri" w:cs="宋体"/>
                <w:b/>
                <w:sz w:val="24"/>
                <w:szCs w:val="24"/>
              </w:rPr>
              <w:t>身份证件</w:t>
            </w:r>
          </w:p>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类型及号码</w:t>
            </w:r>
          </w:p>
        </w:tc>
        <w:tc>
          <w:tcPr>
            <w:tcW w:w="3042" w:type="dxa"/>
            <w:gridSpan w:val="3"/>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205"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委托代理人</w:t>
            </w:r>
          </w:p>
        </w:tc>
        <w:tc>
          <w:tcPr>
            <w:tcW w:w="1553"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c>
          <w:tcPr>
            <w:tcW w:w="2020" w:type="dxa"/>
            <w:gridSpan w:val="3"/>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宋体"/>
                <w:b/>
                <w:sz w:val="24"/>
                <w:szCs w:val="24"/>
              </w:rPr>
            </w:pPr>
            <w:r>
              <w:rPr>
                <w:rFonts w:hint="eastAsia" w:ascii="Calibri" w:hAnsi="Calibri" w:cs="宋体"/>
                <w:b/>
                <w:sz w:val="24"/>
                <w:szCs w:val="24"/>
              </w:rPr>
              <w:t>身份证件</w:t>
            </w:r>
          </w:p>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类型及号码</w:t>
            </w:r>
          </w:p>
        </w:tc>
        <w:tc>
          <w:tcPr>
            <w:tcW w:w="3042" w:type="dxa"/>
            <w:gridSpan w:val="3"/>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205"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Calibri"/>
                <w:b/>
                <w:sz w:val="24"/>
                <w:szCs w:val="24"/>
              </w:rPr>
              <w:t>其他自然人</w:t>
            </w:r>
          </w:p>
        </w:tc>
        <w:tc>
          <w:tcPr>
            <w:tcW w:w="1553"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c>
          <w:tcPr>
            <w:tcW w:w="2020" w:type="dxa"/>
            <w:gridSpan w:val="3"/>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宋体"/>
                <w:b/>
                <w:sz w:val="24"/>
                <w:szCs w:val="24"/>
              </w:rPr>
            </w:pPr>
            <w:r>
              <w:rPr>
                <w:rFonts w:hint="eastAsia" w:ascii="Calibri" w:hAnsi="Calibri" w:cs="宋体"/>
                <w:b/>
                <w:sz w:val="24"/>
                <w:szCs w:val="24"/>
              </w:rPr>
              <w:t>身份证件</w:t>
            </w:r>
          </w:p>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类型及号码</w:t>
            </w:r>
          </w:p>
        </w:tc>
        <w:tc>
          <w:tcPr>
            <w:tcW w:w="3042" w:type="dxa"/>
            <w:gridSpan w:val="3"/>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联系电话</w:t>
            </w:r>
          </w:p>
        </w:tc>
        <w:tc>
          <w:tcPr>
            <w:tcW w:w="6615" w:type="dxa"/>
            <w:gridSpan w:val="7"/>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0" w:type="dxa"/>
            <w:gridSpan w:val="8"/>
            <w:vAlign w:val="center"/>
          </w:tcPr>
          <w:p>
            <w:pPr>
              <w:keepNext w:val="0"/>
              <w:keepLines w:val="0"/>
              <w:pageBreakBefore w:val="0"/>
              <w:widowControl w:val="0"/>
              <w:kinsoku/>
              <w:wordWrap/>
              <w:overflowPunct/>
              <w:topLinePunct w:val="0"/>
              <w:autoSpaceDE/>
              <w:autoSpaceDN/>
              <w:bidi w:val="0"/>
              <w:adjustRightInd w:val="0"/>
              <w:snapToGrid/>
              <w:spacing w:after="0" w:line="360" w:lineRule="exact"/>
              <w:ind w:firstLine="0" w:firstLineChars="0"/>
              <w:jc w:val="center"/>
              <w:textAlignment w:val="auto"/>
              <w:rPr>
                <w:rFonts w:ascii="方正小标宋简体" w:hAnsi="Calibri" w:eastAsia="方正小标宋简体"/>
                <w:b/>
                <w:sz w:val="28"/>
                <w:szCs w:val="28"/>
              </w:rPr>
            </w:pPr>
            <w:r>
              <w:rPr>
                <w:rFonts w:hint="eastAsia" w:ascii="方正小标宋简体" w:hAnsi="Calibri" w:eastAsia="方正小标宋简体" w:cs="方正小标宋简体"/>
                <w:b/>
                <w:sz w:val="28"/>
                <w:szCs w:val="28"/>
              </w:rPr>
              <w:t>失信行为情况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205"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具体行为</w:t>
            </w:r>
          </w:p>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描述及证据描述</w:t>
            </w:r>
          </w:p>
        </w:tc>
        <w:tc>
          <w:tcPr>
            <w:tcW w:w="6615" w:type="dxa"/>
            <w:gridSpan w:val="7"/>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宋体"/>
                <w:b/>
                <w:sz w:val="24"/>
                <w:szCs w:val="24"/>
              </w:rPr>
            </w:pPr>
            <w:r>
              <w:rPr>
                <w:rFonts w:hint="eastAsia" w:ascii="Calibri" w:hAnsi="Calibri" w:cs="宋体"/>
                <w:b/>
                <w:sz w:val="24"/>
                <w:szCs w:val="24"/>
              </w:rPr>
              <w:t>失信类别</w:t>
            </w:r>
          </w:p>
        </w:tc>
        <w:tc>
          <w:tcPr>
            <w:tcW w:w="2277" w:type="dxa"/>
            <w:gridSpan w:val="3"/>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c>
          <w:tcPr>
            <w:tcW w:w="2278" w:type="dxa"/>
            <w:gridSpan w:val="3"/>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宋体"/>
                <w:b/>
                <w:sz w:val="24"/>
                <w:szCs w:val="24"/>
              </w:rPr>
            </w:pPr>
            <w:r>
              <w:rPr>
                <w:rFonts w:hint="eastAsia" w:ascii="Calibri" w:hAnsi="Calibri" w:cs="宋体"/>
                <w:b/>
                <w:spacing w:val="-11"/>
                <w:sz w:val="24"/>
                <w:szCs w:val="24"/>
              </w:rPr>
              <w:t>适用失信行为代码</w:t>
            </w:r>
          </w:p>
        </w:tc>
        <w:tc>
          <w:tcPr>
            <w:tcW w:w="2060"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基础分</w:t>
            </w:r>
          </w:p>
        </w:tc>
        <w:tc>
          <w:tcPr>
            <w:tcW w:w="2277" w:type="dxa"/>
            <w:gridSpan w:val="3"/>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c>
          <w:tcPr>
            <w:tcW w:w="2278" w:type="dxa"/>
            <w:gridSpan w:val="3"/>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加重分</w:t>
            </w:r>
          </w:p>
        </w:tc>
        <w:tc>
          <w:tcPr>
            <w:tcW w:w="2060"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pacing w:val="-11"/>
                <w:sz w:val="24"/>
                <w:szCs w:val="24"/>
              </w:rPr>
              <w:t>相关证据资料列表</w:t>
            </w:r>
          </w:p>
        </w:tc>
        <w:tc>
          <w:tcPr>
            <w:tcW w:w="6615" w:type="dxa"/>
            <w:gridSpan w:val="7"/>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（有关证据资料需附后）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820" w:type="dxa"/>
            <w:gridSpan w:val="8"/>
            <w:vAlign w:val="center"/>
          </w:tcPr>
          <w:p>
            <w:pPr>
              <w:keepNext w:val="0"/>
              <w:keepLines w:val="0"/>
              <w:pageBreakBefore w:val="0"/>
              <w:widowControl w:val="0"/>
              <w:tabs>
                <w:tab w:val="left" w:pos="1113"/>
              </w:tabs>
              <w:kinsoku/>
              <w:wordWrap/>
              <w:overflowPunct/>
              <w:topLinePunct w:val="0"/>
              <w:autoSpaceDE/>
              <w:autoSpaceDN/>
              <w:bidi w:val="0"/>
              <w:adjustRightInd w:val="0"/>
              <w:snapToGrid/>
              <w:spacing w:after="0" w:line="300" w:lineRule="exact"/>
              <w:ind w:firstLine="0" w:firstLineChars="0"/>
              <w:jc w:val="left"/>
              <w:textAlignment w:val="auto"/>
              <w:rPr>
                <w:rFonts w:ascii="Calibri" w:hAnsi="Calibri" w:cs="宋体"/>
                <w:b/>
                <w:sz w:val="24"/>
                <w:szCs w:val="24"/>
              </w:rPr>
            </w:pPr>
            <w:r>
              <w:rPr>
                <w:rFonts w:hint="eastAsia" w:ascii="Calibri" w:hAnsi="Calibri" w:cs="宋体"/>
                <w:b/>
                <w:sz w:val="24"/>
                <w:szCs w:val="24"/>
              </w:rPr>
              <w:t>所属单位招标管理部门意见：</w:t>
            </w:r>
          </w:p>
          <w:p>
            <w:pPr>
              <w:keepNext w:val="0"/>
              <w:keepLines w:val="0"/>
              <w:pageBreakBefore w:val="0"/>
              <w:widowControl w:val="0"/>
              <w:tabs>
                <w:tab w:val="left" w:pos="1113"/>
              </w:tabs>
              <w:kinsoku/>
              <w:wordWrap/>
              <w:overflowPunct/>
              <w:topLinePunct w:val="0"/>
              <w:autoSpaceDE/>
              <w:autoSpaceDN/>
              <w:bidi w:val="0"/>
              <w:adjustRightInd w:val="0"/>
              <w:snapToGrid/>
              <w:spacing w:after="0" w:line="300" w:lineRule="exact"/>
              <w:ind w:firstLine="0" w:firstLineChars="0"/>
              <w:jc w:val="left"/>
              <w:textAlignment w:val="auto"/>
              <w:rPr>
                <w:rFonts w:ascii="Calibri" w:hAnsi="Calibri" w:cs="宋体"/>
                <w:b/>
                <w:sz w:val="24"/>
                <w:szCs w:val="24"/>
              </w:rPr>
            </w:pPr>
          </w:p>
          <w:p>
            <w:pPr>
              <w:keepNext w:val="0"/>
              <w:keepLines w:val="0"/>
              <w:pageBreakBefore w:val="0"/>
              <w:widowControl w:val="0"/>
              <w:tabs>
                <w:tab w:val="left" w:pos="1113"/>
              </w:tabs>
              <w:kinsoku/>
              <w:wordWrap/>
              <w:overflowPunct/>
              <w:topLinePunct w:val="0"/>
              <w:autoSpaceDE/>
              <w:autoSpaceDN/>
              <w:bidi w:val="0"/>
              <w:adjustRightInd w:val="0"/>
              <w:snapToGrid/>
              <w:spacing w:after="0" w:line="300" w:lineRule="exact"/>
              <w:ind w:firstLine="4420" w:firstLineChars="1700"/>
              <w:jc w:val="left"/>
              <w:textAlignment w:val="auto"/>
              <w:rPr>
                <w:rFonts w:ascii="Calibri" w:hAnsi="Calibri" w:cs="宋体"/>
                <w:b/>
                <w:sz w:val="24"/>
                <w:szCs w:val="24"/>
              </w:rPr>
            </w:pPr>
            <w:r>
              <w:rPr>
                <w:rFonts w:hint="eastAsia" w:ascii="Calibri" w:hAnsi="Calibri" w:cs="宋体"/>
                <w:b/>
                <w:sz w:val="24"/>
                <w:szCs w:val="24"/>
              </w:rPr>
              <w:t>签字：            年  月  日</w:t>
            </w:r>
          </w:p>
        </w:tc>
      </w:tr>
    </w:tbl>
    <w:p>
      <w:pPr>
        <w:overflowPunct w:val="0"/>
        <w:adjustRightInd w:val="0"/>
        <w:spacing w:line="500" w:lineRule="exact"/>
        <w:ind w:firstLine="0" w:firstLineChars="0"/>
        <w:jc w:val="left"/>
        <w:rPr>
          <w:rFonts w:ascii="宋体" w:cs="黑体"/>
          <w:b/>
          <w:sz w:val="28"/>
          <w:szCs w:val="28"/>
        </w:rPr>
        <w:sectPr>
          <w:pgSz w:w="11906" w:h="16838"/>
          <w:pgMar w:top="2098" w:right="1474" w:bottom="1984" w:left="1587" w:header="851" w:footer="1474" w:gutter="0"/>
          <w:pgNumType w:fmt="decimal"/>
          <w:cols w:space="0" w:num="1"/>
          <w:docGrid w:type="linesAndChars" w:linePitch="579" w:charSpace="4135"/>
        </w:sectPr>
      </w:pPr>
    </w:p>
    <w:p>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spacing w:after="0" w:line="400" w:lineRule="exact"/>
        <w:ind w:firstLine="0" w:firstLineChars="0"/>
        <w:textAlignment w:val="auto"/>
        <w:rPr>
          <w:rFonts w:ascii="方正黑体简体" w:hAnsi="仿宋" w:eastAsia="方正黑体简体" w:cs="仿宋"/>
          <w:b w:val="0"/>
          <w:bCs/>
        </w:rPr>
      </w:pPr>
      <w:r>
        <w:rPr>
          <w:rFonts w:hint="eastAsia" w:ascii="方正黑体简体" w:hAnsi="仿宋" w:eastAsia="方正黑体简体" w:cs="仿宋"/>
          <w:b w:val="0"/>
          <w:bCs/>
        </w:rPr>
        <w:t>附件4</w:t>
      </w:r>
    </w:p>
    <w:p>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spacing w:after="0" w:line="400" w:lineRule="exact"/>
        <w:ind w:firstLine="0" w:firstLineChars="0"/>
        <w:textAlignment w:val="auto"/>
        <w:rPr>
          <w:rFonts w:ascii="仿宋" w:hAnsi="仿宋" w:eastAsia="仿宋" w:cs="仿宋"/>
          <w:b/>
        </w:rPr>
      </w:pPr>
    </w:p>
    <w:p>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spacing w:after="0" w:line="500" w:lineRule="exact"/>
        <w:ind w:firstLine="0" w:firstLineChars="0"/>
        <w:jc w:val="center"/>
        <w:textAlignment w:val="auto"/>
        <w:rPr>
          <w:rFonts w:ascii="方正小标宋简体" w:hAnsi="仿宋" w:eastAsia="方正小标宋简体"/>
          <w:b/>
          <w:sz w:val="44"/>
          <w:szCs w:val="44"/>
        </w:rPr>
      </w:pPr>
      <w:r>
        <w:rPr>
          <w:rFonts w:hint="eastAsia" w:ascii="方正小标宋简体" w:hAnsi="仿宋" w:eastAsia="方正小标宋简体" w:cs="仿宋"/>
          <w:b/>
          <w:sz w:val="44"/>
          <w:szCs w:val="44"/>
        </w:rPr>
        <w:t>投标人失信行为信息发布记录表</w:t>
      </w:r>
    </w:p>
    <w:tbl>
      <w:tblPr>
        <w:tblStyle w:val="12"/>
        <w:tblW w:w="1404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74"/>
        <w:gridCol w:w="945"/>
        <w:gridCol w:w="1148"/>
        <w:gridCol w:w="1434"/>
        <w:gridCol w:w="1843"/>
        <w:gridCol w:w="2182"/>
        <w:gridCol w:w="980"/>
        <w:gridCol w:w="1288"/>
        <w:gridCol w:w="1175"/>
        <w:gridCol w:w="644"/>
        <w:gridCol w:w="994"/>
        <w:gridCol w:w="8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574" w:type="dxa"/>
            <w:tcBorders>
              <w:top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序号</w:t>
            </w:r>
          </w:p>
        </w:tc>
        <w:tc>
          <w:tcPr>
            <w:tcW w:w="945" w:type="dxa"/>
            <w:tcBorders>
              <w:top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失信行为</w:t>
            </w:r>
          </w:p>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人名称①</w:t>
            </w:r>
          </w:p>
        </w:tc>
        <w:tc>
          <w:tcPr>
            <w:tcW w:w="1148" w:type="dxa"/>
            <w:tcBorders>
              <w:top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统一社会</w:t>
            </w:r>
          </w:p>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信用代码②</w:t>
            </w:r>
          </w:p>
        </w:tc>
        <w:tc>
          <w:tcPr>
            <w:tcW w:w="1434" w:type="dxa"/>
            <w:tcBorders>
              <w:top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法定代表人</w:t>
            </w:r>
          </w:p>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（或负责人）</w:t>
            </w:r>
          </w:p>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姓名③</w:t>
            </w:r>
          </w:p>
        </w:tc>
        <w:tc>
          <w:tcPr>
            <w:tcW w:w="1843" w:type="dxa"/>
            <w:tcBorders>
              <w:top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spacing w:val="-11"/>
                <w:kern w:val="0"/>
                <w:sz w:val="18"/>
                <w:szCs w:val="18"/>
              </w:rPr>
            </w:pPr>
            <w:r>
              <w:rPr>
                <w:rFonts w:hint="eastAsia" w:ascii="宋体" w:hAnsi="宋体"/>
                <w:b/>
                <w:bCs/>
                <w:spacing w:val="-11"/>
                <w:kern w:val="0"/>
                <w:sz w:val="18"/>
                <w:szCs w:val="18"/>
              </w:rPr>
              <w:t>法定代表人（或负责人）</w:t>
            </w:r>
          </w:p>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身份证件类型④</w:t>
            </w:r>
          </w:p>
        </w:tc>
        <w:tc>
          <w:tcPr>
            <w:tcW w:w="2182" w:type="dxa"/>
            <w:tcBorders>
              <w:top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法定代表人（或负责人）</w:t>
            </w:r>
          </w:p>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身份证件号码⑤</w:t>
            </w:r>
          </w:p>
        </w:tc>
        <w:tc>
          <w:tcPr>
            <w:tcW w:w="980" w:type="dxa"/>
            <w:tcBorders>
              <w:top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项目名称</w:t>
            </w:r>
          </w:p>
        </w:tc>
        <w:tc>
          <w:tcPr>
            <w:tcW w:w="1288" w:type="dxa"/>
            <w:tcBorders>
              <w:top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失信行为</w:t>
            </w:r>
          </w:p>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具体描述</w:t>
            </w:r>
          </w:p>
        </w:tc>
        <w:tc>
          <w:tcPr>
            <w:tcW w:w="1175" w:type="dxa"/>
            <w:tcBorders>
              <w:top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适用的失信</w:t>
            </w:r>
          </w:p>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行为代码及</w:t>
            </w:r>
          </w:p>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描述</w:t>
            </w:r>
          </w:p>
        </w:tc>
        <w:tc>
          <w:tcPr>
            <w:tcW w:w="644" w:type="dxa"/>
            <w:tcBorders>
              <w:top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失信</w:t>
            </w:r>
          </w:p>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记分</w:t>
            </w:r>
          </w:p>
        </w:tc>
        <w:tc>
          <w:tcPr>
            <w:tcW w:w="994" w:type="dxa"/>
            <w:tcBorders>
              <w:top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失信记分</w:t>
            </w:r>
          </w:p>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有效期</w:t>
            </w:r>
          </w:p>
        </w:tc>
        <w:tc>
          <w:tcPr>
            <w:tcW w:w="840" w:type="dxa"/>
            <w:tcBorders>
              <w:top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发布人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74"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kern w:val="0"/>
                <w:sz w:val="18"/>
                <w:szCs w:val="18"/>
              </w:rPr>
            </w:pPr>
            <w:r>
              <w:rPr>
                <w:rFonts w:ascii="宋体" w:hAnsi="宋体"/>
                <w:b/>
                <w:kern w:val="0"/>
                <w:sz w:val="18"/>
                <w:szCs w:val="18"/>
              </w:rPr>
              <w:t>1</w:t>
            </w:r>
          </w:p>
        </w:tc>
        <w:tc>
          <w:tcPr>
            <w:tcW w:w="945"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148"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434"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843"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2182"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80"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288"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175"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644"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94"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840"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74"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kern w:val="0"/>
                <w:sz w:val="18"/>
                <w:szCs w:val="18"/>
              </w:rPr>
            </w:pPr>
            <w:r>
              <w:rPr>
                <w:rFonts w:ascii="宋体" w:hAnsi="宋体"/>
                <w:b/>
                <w:kern w:val="0"/>
                <w:sz w:val="18"/>
                <w:szCs w:val="18"/>
              </w:rPr>
              <w:t>2</w:t>
            </w:r>
          </w:p>
        </w:tc>
        <w:tc>
          <w:tcPr>
            <w:tcW w:w="945"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148"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434"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843"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2182"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80"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288"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175"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644"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94"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840"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74"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kern w:val="0"/>
                <w:sz w:val="18"/>
                <w:szCs w:val="18"/>
              </w:rPr>
            </w:pPr>
            <w:r>
              <w:rPr>
                <w:rFonts w:ascii="宋体" w:hAnsi="宋体"/>
                <w:b/>
                <w:kern w:val="0"/>
                <w:sz w:val="18"/>
                <w:szCs w:val="18"/>
              </w:rPr>
              <w:t>3</w:t>
            </w:r>
          </w:p>
        </w:tc>
        <w:tc>
          <w:tcPr>
            <w:tcW w:w="945"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148"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434"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843"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2182"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80"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288"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175"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644"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94"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840" w:type="dxa"/>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74" w:type="dxa"/>
            <w:tcBorders>
              <w:bottom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b/>
                <w:kern w:val="0"/>
                <w:sz w:val="18"/>
                <w:szCs w:val="18"/>
              </w:rPr>
            </w:pPr>
            <w:r>
              <w:rPr>
                <w:rFonts w:hint="eastAsia" w:ascii="宋体"/>
                <w:b/>
                <w:kern w:val="0"/>
                <w:sz w:val="18"/>
                <w:szCs w:val="18"/>
              </w:rPr>
              <w:t>……</w:t>
            </w:r>
          </w:p>
        </w:tc>
        <w:tc>
          <w:tcPr>
            <w:tcW w:w="945" w:type="dxa"/>
            <w:tcBorders>
              <w:bottom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148" w:type="dxa"/>
            <w:tcBorders>
              <w:bottom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434" w:type="dxa"/>
            <w:tcBorders>
              <w:bottom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843" w:type="dxa"/>
            <w:tcBorders>
              <w:bottom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2182" w:type="dxa"/>
            <w:tcBorders>
              <w:bottom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80" w:type="dxa"/>
            <w:tcBorders>
              <w:bottom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288" w:type="dxa"/>
            <w:tcBorders>
              <w:bottom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175" w:type="dxa"/>
            <w:tcBorders>
              <w:bottom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644" w:type="dxa"/>
            <w:tcBorders>
              <w:bottom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94" w:type="dxa"/>
            <w:tcBorders>
              <w:bottom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840" w:type="dxa"/>
            <w:tcBorders>
              <w:bottom w:val="single" w:color="auto" w:sz="8" w:space="0"/>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r>
    </w:tbl>
    <w:p>
      <w:pPr>
        <w:ind w:firstLine="634"/>
        <w:rPr>
          <w:b/>
        </w:rPr>
      </w:pPr>
    </w:p>
    <w:sectPr>
      <w:footerReference r:id="rId14" w:type="default"/>
      <w:pgSz w:w="16838" w:h="11906" w:orient="landscape"/>
      <w:pgMar w:top="1474" w:right="1418" w:bottom="1474" w:left="1418" w:header="851" w:footer="907" w:gutter="0"/>
      <w:pgNumType w:fmt="decimal"/>
      <w:cols w:space="0" w:num="1"/>
      <w:rtlGutter w:val="0"/>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80"/>
      </w:pPr>
      <w:r>
        <w:separator/>
      </w:r>
    </w:p>
  </w:endnote>
  <w:endnote w:type="continuationSeparator" w:id="1">
    <w:p>
      <w:pPr>
        <w:spacing w:line="240" w:lineRule="auto"/>
        <w:ind w:firstLine="6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00000283" w:usb1="180F1C10" w:usb2="00000016" w:usb3="00000000" w:csb0="40040001" w:csb1="C0D60000"/>
  </w:font>
  <w:font w:name="Courier New">
    <w:panose1 w:val="02070309020205020404"/>
    <w:charset w:val="01"/>
    <w:family w:val="modern"/>
    <w:pitch w:val="default"/>
    <w:sig w:usb0="E0002AFF" w:usb1="C0007843" w:usb2="00000009" w:usb3="00000000" w:csb0="400001FF" w:csb1="FFFF0000"/>
  </w:font>
  <w:font w:name="Symbol">
    <w:altName w:val="MT Extra"/>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Times">
    <w:altName w:val="Nimbus Roman No9 L"/>
    <w:panose1 w:val="02020603050405020304"/>
    <w:charset w:val="00"/>
    <w:family w:val="roman"/>
    <w:pitch w:val="default"/>
    <w:sig w:usb0="00000000" w:usb1="00000000" w:usb2="00000009" w:usb3="00000000" w:csb0="000001FF" w:csb1="00000000"/>
  </w:font>
  <w:font w:name="Nimbus Roman No9 L">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00000283" w:usb1="180F0C10" w:usb2="00000012" w:usb3="00000000" w:csb0="00040001" w:csb1="00000000"/>
  </w:font>
  <w:font w:name="方正黑体简体">
    <w:panose1 w:val="02010601030101010101"/>
    <w:charset w:val="86"/>
    <w:family w:val="auto"/>
    <w:pitch w:val="default"/>
    <w:sig w:usb0="00000001" w:usb1="080E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Cambria Math">
    <w:panose1 w:val="02040503050406030204"/>
    <w:charset w:val="00"/>
    <w:family w:val="auto"/>
    <w:pitch w:val="default"/>
    <w:sig w:usb0="E00002FF" w:usb1="420024FF" w:usb2="00000000" w:usb3="00000000" w:csb0="2000019F" w:csb1="00000000"/>
  </w:font>
  <w:font w:name="仿宋">
    <w:panose1 w:val="02010609060101010101"/>
    <w:charset w:val="86"/>
    <w:family w:val="modern"/>
    <w:pitch w:val="default"/>
    <w:sig w:usb0="00000283" w:usb1="180F1C10" w:usb2="00000016" w:usb3="00000000" w:csb0="40040001" w:csb1="C0D60000"/>
  </w:font>
  <w:font w:name="MT Extra">
    <w:panose1 w:val="02000000000000000000"/>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2" w:rightChars="113" w:firstLineChars="1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keepNext w:val="0"/>
                            <w:keepLines w:val="0"/>
                            <w:pageBreakBefore w:val="0"/>
                            <w:widowControl w:val="0"/>
                            <w:kinsoku/>
                            <w:wordWrap/>
                            <w:overflowPunct/>
                            <w:topLinePunct w:val="0"/>
                            <w:autoSpaceDE/>
                            <w:autoSpaceDN/>
                            <w:bidi w:val="0"/>
                            <w:adjustRightInd/>
                            <w:snapToGrid w:val="0"/>
                            <w:spacing w:after="0" w:line="240" w:lineRule="auto"/>
                            <w:ind w:left="0" w:leftChars="0" w:firstLine="0" w:firstLineChars="0"/>
                            <w:textAlignment w:val="auto"/>
                            <w:rPr>
                              <w:rFonts w:ascii="宋体" w:hAnsi="宋体" w:eastAsia="宋体"/>
                              <w:b/>
                              <w:bCs/>
                              <w:sz w:val="28"/>
                            </w:rPr>
                          </w:pPr>
                          <w:r>
                            <w:rPr>
                              <w:rFonts w:ascii="宋体" w:hAnsi="宋体" w:eastAsia="宋体"/>
                              <w:b/>
                              <w:bCs/>
                              <w:sz w:val="28"/>
                            </w:rPr>
                            <w:t>—</w:t>
                          </w:r>
                          <w:r>
                            <w:rPr>
                              <w:rFonts w:hint="eastAsia" w:ascii="宋体" w:hAnsi="宋体"/>
                              <w:b/>
                              <w:bCs/>
                              <w:sz w:val="28"/>
                              <w:lang w:val="en-US" w:eastAsia="zh-CN"/>
                            </w:rPr>
                            <w:t xml:space="preserve"> </w:t>
                          </w:r>
                          <w:r>
                            <w:rPr>
                              <w:rFonts w:ascii="宋体" w:hAnsi="宋体" w:eastAsia="宋体"/>
                              <w:b/>
                              <w:bCs/>
                              <w:sz w:val="28"/>
                            </w:rPr>
                            <w:fldChar w:fldCharType="begin"/>
                          </w:r>
                          <w:r>
                            <w:rPr>
                              <w:rFonts w:ascii="宋体" w:hAnsi="宋体" w:eastAsia="宋体"/>
                              <w:b/>
                              <w:bCs/>
                              <w:sz w:val="28"/>
                            </w:rPr>
                            <w:instrText xml:space="preserve"> PAGE  \* MERGEFORMAT </w:instrText>
                          </w:r>
                          <w:r>
                            <w:rPr>
                              <w:rFonts w:ascii="宋体" w:hAnsi="宋体" w:eastAsia="宋体"/>
                              <w:b/>
                              <w:bCs/>
                              <w:sz w:val="28"/>
                            </w:rPr>
                            <w:fldChar w:fldCharType="separate"/>
                          </w:r>
                          <w:r>
                            <w:rPr>
                              <w:rFonts w:ascii="宋体" w:hAnsi="宋体" w:eastAsia="宋体"/>
                              <w:b/>
                              <w:bCs/>
                              <w:sz w:val="28"/>
                            </w:rPr>
                            <w:t>3</w:t>
                          </w:r>
                          <w:r>
                            <w:rPr>
                              <w:rFonts w:ascii="宋体" w:hAnsi="宋体" w:eastAsia="宋体"/>
                              <w:b/>
                              <w:bCs/>
                              <w:sz w:val="28"/>
                            </w:rPr>
                            <w:fldChar w:fldCharType="end"/>
                          </w:r>
                          <w:r>
                            <w:rPr>
                              <w:rFonts w:hint="eastAsia" w:ascii="宋体" w:hAnsi="宋体"/>
                              <w:b/>
                              <w:bCs/>
                              <w:sz w:val="28"/>
                              <w:lang w:val="en-US" w:eastAsia="zh-CN"/>
                            </w:rPr>
                            <w:t xml:space="preserve"> </w:t>
                          </w:r>
                          <w:r>
                            <w:rPr>
                              <w:rFonts w:ascii="宋体" w:hAnsi="宋体" w:eastAsia="宋体"/>
                              <w:b/>
                              <w:bCs/>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">
              <v:fill on="f" focussize="0,0"/>
              <v:stroke on="f" weight="0.5pt"/>
              <v:imagedata o:title=""/>
              <o:lock v:ext="edit" aspectratio="f"/>
              <v:textbox inset="16pt,0mm,16pt,0mm" style="mso-fit-shape-to-text:t;">
                <w:txbxContent>
                  <w:p>
                    <w:pPr>
                      <w:pStyle w:val="7"/>
                      <w:keepNext w:val="0"/>
                      <w:keepLines w:val="0"/>
                      <w:pageBreakBefore w:val="0"/>
                      <w:widowControl w:val="0"/>
                      <w:kinsoku/>
                      <w:wordWrap/>
                      <w:overflowPunct/>
                      <w:topLinePunct w:val="0"/>
                      <w:autoSpaceDE/>
                      <w:autoSpaceDN/>
                      <w:bidi w:val="0"/>
                      <w:adjustRightInd/>
                      <w:snapToGrid w:val="0"/>
                      <w:spacing w:after="0" w:line="240" w:lineRule="auto"/>
                      <w:ind w:left="0" w:leftChars="0" w:firstLine="0" w:firstLineChars="0"/>
                      <w:textAlignment w:val="auto"/>
                      <w:rPr>
                        <w:rFonts w:ascii="宋体" w:hAnsi="宋体" w:eastAsia="宋体"/>
                        <w:b/>
                        <w:bCs/>
                        <w:sz w:val="28"/>
                      </w:rPr>
                    </w:pPr>
                    <w:r>
                      <w:rPr>
                        <w:rFonts w:ascii="宋体" w:hAnsi="宋体" w:eastAsia="宋体"/>
                        <w:b/>
                        <w:bCs/>
                        <w:sz w:val="28"/>
                      </w:rPr>
                      <w:t>—</w:t>
                    </w:r>
                    <w:r>
                      <w:rPr>
                        <w:rFonts w:hint="eastAsia" w:ascii="宋体" w:hAnsi="宋体"/>
                        <w:b/>
                        <w:bCs/>
                        <w:sz w:val="28"/>
                        <w:lang w:val="en-US" w:eastAsia="zh-CN"/>
                      </w:rPr>
                      <w:t xml:space="preserve"> </w:t>
                    </w:r>
                    <w:r>
                      <w:rPr>
                        <w:rFonts w:ascii="宋体" w:hAnsi="宋体" w:eastAsia="宋体"/>
                        <w:b/>
                        <w:bCs/>
                        <w:sz w:val="28"/>
                      </w:rPr>
                      <w:fldChar w:fldCharType="begin"/>
                    </w:r>
                    <w:r>
                      <w:rPr>
                        <w:rFonts w:ascii="宋体" w:hAnsi="宋体" w:eastAsia="宋体"/>
                        <w:b/>
                        <w:bCs/>
                        <w:sz w:val="28"/>
                      </w:rPr>
                      <w:instrText xml:space="preserve"> PAGE  \* MERGEFORMAT </w:instrText>
                    </w:r>
                    <w:r>
                      <w:rPr>
                        <w:rFonts w:ascii="宋体" w:hAnsi="宋体" w:eastAsia="宋体"/>
                        <w:b/>
                        <w:bCs/>
                        <w:sz w:val="28"/>
                      </w:rPr>
                      <w:fldChar w:fldCharType="separate"/>
                    </w:r>
                    <w:r>
                      <w:rPr>
                        <w:rFonts w:ascii="宋体" w:hAnsi="宋体" w:eastAsia="宋体"/>
                        <w:b/>
                        <w:bCs/>
                        <w:sz w:val="28"/>
                      </w:rPr>
                      <w:t>3</w:t>
                    </w:r>
                    <w:r>
                      <w:rPr>
                        <w:rFonts w:ascii="宋体" w:hAnsi="宋体" w:eastAsia="宋体"/>
                        <w:b/>
                        <w:bCs/>
                        <w:sz w:val="28"/>
                      </w:rPr>
                      <w:fldChar w:fldCharType="end"/>
                    </w:r>
                    <w:r>
                      <w:rPr>
                        <w:rFonts w:hint="eastAsia" w:ascii="宋体" w:hAnsi="宋体"/>
                        <w:b/>
                        <w:bCs/>
                        <w:sz w:val="28"/>
                        <w:lang w:val="en-US" w:eastAsia="zh-CN"/>
                      </w:rPr>
                      <w:t xml:space="preserve"> </w:t>
                    </w:r>
                    <w:r>
                      <w:rPr>
                        <w:rFonts w:ascii="宋体" w:hAnsi="宋体" w:eastAsia="宋体"/>
                        <w:b/>
                        <w:bCs/>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2" w:rightChars="113" w:firstLineChars="111"/>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keepNext w:val="0"/>
                            <w:keepLines w:val="0"/>
                            <w:pageBreakBefore w:val="0"/>
                            <w:widowControl w:val="0"/>
                            <w:kinsoku/>
                            <w:wordWrap/>
                            <w:overflowPunct/>
                            <w:topLinePunct w:val="0"/>
                            <w:autoSpaceDE/>
                            <w:autoSpaceDN/>
                            <w:bidi w:val="0"/>
                            <w:adjustRightInd/>
                            <w:snapToGrid w:val="0"/>
                            <w:spacing w:after="0" w:line="240" w:lineRule="auto"/>
                            <w:ind w:right="320" w:rightChars="100"/>
                            <w:textAlignment w:val="auto"/>
                            <w:rPr>
                              <w:rFonts w:ascii="宋体" w:hAnsi="宋体" w:eastAsia="宋体"/>
                              <w:b/>
                              <w:bCs/>
                              <w:sz w:val="28"/>
                            </w:rPr>
                          </w:pPr>
                          <w:r>
                            <w:rPr>
                              <w:rFonts w:ascii="宋体" w:hAnsi="宋体" w:eastAsia="宋体"/>
                              <w:b/>
                              <w:bCs/>
                              <w:sz w:val="28"/>
                            </w:rPr>
                            <w:t>—</w:t>
                          </w:r>
                          <w:r>
                            <w:rPr>
                              <w:rFonts w:hint="eastAsia" w:ascii="宋体" w:hAnsi="宋体"/>
                              <w:b/>
                              <w:bCs/>
                              <w:sz w:val="28"/>
                              <w:lang w:val="en-US" w:eastAsia="zh-CN"/>
                            </w:rPr>
                            <w:t xml:space="preserve"> </w:t>
                          </w:r>
                          <w:r>
                            <w:rPr>
                              <w:rFonts w:ascii="宋体" w:hAnsi="宋体" w:eastAsia="宋体"/>
                              <w:b/>
                              <w:bCs/>
                              <w:sz w:val="28"/>
                            </w:rPr>
                            <w:fldChar w:fldCharType="begin"/>
                          </w:r>
                          <w:r>
                            <w:rPr>
                              <w:rFonts w:ascii="宋体" w:hAnsi="宋体" w:eastAsia="宋体"/>
                              <w:b/>
                              <w:bCs/>
                              <w:sz w:val="28"/>
                            </w:rPr>
                            <w:instrText xml:space="preserve"> PAGE  \* MERGEFORMAT </w:instrText>
                          </w:r>
                          <w:r>
                            <w:rPr>
                              <w:rFonts w:ascii="宋体" w:hAnsi="宋体" w:eastAsia="宋体"/>
                              <w:b/>
                              <w:bCs/>
                              <w:sz w:val="28"/>
                            </w:rPr>
                            <w:fldChar w:fldCharType="separate"/>
                          </w:r>
                          <w:r>
                            <w:rPr>
                              <w:rFonts w:ascii="宋体" w:hAnsi="宋体" w:eastAsia="宋体"/>
                              <w:b/>
                              <w:bCs/>
                              <w:sz w:val="28"/>
                            </w:rPr>
                            <w:t>1</w:t>
                          </w:r>
                          <w:r>
                            <w:rPr>
                              <w:rFonts w:ascii="宋体" w:hAnsi="宋体" w:eastAsia="宋体"/>
                              <w:b/>
                              <w:bCs/>
                              <w:sz w:val="28"/>
                            </w:rPr>
                            <w:fldChar w:fldCharType="end"/>
                          </w:r>
                          <w:r>
                            <w:rPr>
                              <w:rFonts w:hint="eastAsia" w:ascii="宋体" w:hAnsi="宋体"/>
                              <w:b/>
                              <w:bCs/>
                              <w:sz w:val="28"/>
                              <w:lang w:val="en-US" w:eastAsia="zh-CN"/>
                            </w:rPr>
                            <w:t xml:space="preserve"> </w:t>
                          </w:r>
                          <w:r>
                            <w:rPr>
                              <w:rFonts w:ascii="宋体" w:hAnsi="宋体" w:eastAsia="宋体"/>
                              <w:b/>
                              <w:bCs/>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&#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PWLh2QyAgAAYQ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7"/>
                      <w:keepNext w:val="0"/>
                      <w:keepLines w:val="0"/>
                      <w:pageBreakBefore w:val="0"/>
                      <w:widowControl w:val="0"/>
                      <w:kinsoku/>
                      <w:wordWrap/>
                      <w:overflowPunct/>
                      <w:topLinePunct w:val="0"/>
                      <w:autoSpaceDE/>
                      <w:autoSpaceDN/>
                      <w:bidi w:val="0"/>
                      <w:adjustRightInd/>
                      <w:snapToGrid w:val="0"/>
                      <w:spacing w:after="0" w:line="240" w:lineRule="auto"/>
                      <w:ind w:right="320" w:rightChars="100"/>
                      <w:textAlignment w:val="auto"/>
                      <w:rPr>
                        <w:rFonts w:ascii="宋体" w:hAnsi="宋体" w:eastAsia="宋体"/>
                        <w:b/>
                        <w:bCs/>
                        <w:sz w:val="28"/>
                      </w:rPr>
                    </w:pPr>
                    <w:r>
                      <w:rPr>
                        <w:rFonts w:ascii="宋体" w:hAnsi="宋体" w:eastAsia="宋体"/>
                        <w:b/>
                        <w:bCs/>
                        <w:sz w:val="28"/>
                      </w:rPr>
                      <w:t>—</w:t>
                    </w:r>
                    <w:r>
                      <w:rPr>
                        <w:rFonts w:hint="eastAsia" w:ascii="宋体" w:hAnsi="宋体"/>
                        <w:b/>
                        <w:bCs/>
                        <w:sz w:val="28"/>
                        <w:lang w:val="en-US" w:eastAsia="zh-CN"/>
                      </w:rPr>
                      <w:t xml:space="preserve"> </w:t>
                    </w:r>
                    <w:r>
                      <w:rPr>
                        <w:rFonts w:ascii="宋体" w:hAnsi="宋体" w:eastAsia="宋体"/>
                        <w:b/>
                        <w:bCs/>
                        <w:sz w:val="28"/>
                      </w:rPr>
                      <w:fldChar w:fldCharType="begin"/>
                    </w:r>
                    <w:r>
                      <w:rPr>
                        <w:rFonts w:ascii="宋体" w:hAnsi="宋体" w:eastAsia="宋体"/>
                        <w:b/>
                        <w:bCs/>
                        <w:sz w:val="28"/>
                      </w:rPr>
                      <w:instrText xml:space="preserve"> PAGE  \* MERGEFORMAT </w:instrText>
                    </w:r>
                    <w:r>
                      <w:rPr>
                        <w:rFonts w:ascii="宋体" w:hAnsi="宋体" w:eastAsia="宋体"/>
                        <w:b/>
                        <w:bCs/>
                        <w:sz w:val="28"/>
                      </w:rPr>
                      <w:fldChar w:fldCharType="separate"/>
                    </w:r>
                    <w:r>
                      <w:rPr>
                        <w:rFonts w:ascii="宋体" w:hAnsi="宋体" w:eastAsia="宋体"/>
                        <w:b/>
                        <w:bCs/>
                        <w:sz w:val="28"/>
                      </w:rPr>
                      <w:t>1</w:t>
                    </w:r>
                    <w:r>
                      <w:rPr>
                        <w:rFonts w:ascii="宋体" w:hAnsi="宋体" w:eastAsia="宋体"/>
                        <w:b/>
                        <w:bCs/>
                        <w:sz w:val="28"/>
                      </w:rPr>
                      <w:fldChar w:fldCharType="end"/>
                    </w:r>
                    <w:r>
                      <w:rPr>
                        <w:rFonts w:hint="eastAsia" w:ascii="宋体" w:hAnsi="宋体"/>
                        <w:b/>
                        <w:bCs/>
                        <w:sz w:val="28"/>
                        <w:lang w:val="en-US" w:eastAsia="zh-CN"/>
                      </w:rPr>
                      <w:t xml:space="preserve"> </w:t>
                    </w:r>
                    <w:r>
                      <w:rPr>
                        <w:rFonts w:ascii="宋体" w:hAnsi="宋体" w:eastAsia="宋体"/>
                        <w:b/>
                        <w:bCs/>
                        <w:sz w:val="28"/>
                      </w:rPr>
                      <w: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36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宋体" w:hAnsi="宋体" w:eastAsia="宋体"/>
                              <w:b/>
                              <w:bCs/>
                              <w:sz w:val="28"/>
                            </w:rPr>
                          </w:pPr>
                          <w:r>
                            <w:rPr>
                              <w:rFonts w:ascii="宋体" w:hAnsi="宋体" w:eastAsia="宋体"/>
                              <w:b/>
                              <w:bCs/>
                              <w:sz w:val="28"/>
                            </w:rPr>
                            <w:t>—</w:t>
                          </w:r>
                          <w:r>
                            <w:rPr>
                              <w:rFonts w:hint="eastAsia" w:ascii="宋体" w:hAnsi="宋体"/>
                              <w:b/>
                              <w:bCs/>
                              <w:sz w:val="28"/>
                              <w:lang w:val="en-US" w:eastAsia="zh-CN"/>
                            </w:rPr>
                            <w:t xml:space="preserve"> </w:t>
                          </w:r>
                          <w:r>
                            <w:rPr>
                              <w:rFonts w:ascii="宋体" w:hAnsi="宋体" w:eastAsia="宋体"/>
                              <w:b/>
                              <w:bCs/>
                              <w:sz w:val="28"/>
                            </w:rPr>
                            <w:fldChar w:fldCharType="begin"/>
                          </w:r>
                          <w:r>
                            <w:rPr>
                              <w:rFonts w:ascii="宋体" w:hAnsi="宋体" w:eastAsia="宋体"/>
                              <w:b/>
                              <w:bCs/>
                              <w:sz w:val="28"/>
                            </w:rPr>
                            <w:instrText xml:space="preserve"> PAGE  \* MERGEFORMAT </w:instrText>
                          </w:r>
                          <w:r>
                            <w:rPr>
                              <w:rFonts w:ascii="宋体" w:hAnsi="宋体" w:eastAsia="宋体"/>
                              <w:b/>
                              <w:bCs/>
                              <w:sz w:val="28"/>
                            </w:rPr>
                            <w:fldChar w:fldCharType="separate"/>
                          </w:r>
                          <w:r>
                            <w:rPr>
                              <w:rFonts w:ascii="宋体" w:hAnsi="宋体" w:eastAsia="宋体"/>
                              <w:b/>
                              <w:bCs/>
                              <w:sz w:val="28"/>
                            </w:rPr>
                            <w:t>18</w:t>
                          </w:r>
                          <w:r>
                            <w:rPr>
                              <w:rFonts w:ascii="宋体" w:hAnsi="宋体" w:eastAsia="宋体"/>
                              <w:b/>
                              <w:bCs/>
                              <w:sz w:val="28"/>
                            </w:rPr>
                            <w:fldChar w:fldCharType="end"/>
                          </w:r>
                          <w:r>
                            <w:rPr>
                              <w:rFonts w:hint="eastAsia" w:ascii="宋体" w:hAnsi="宋体"/>
                              <w:b/>
                              <w:bCs/>
                              <w:sz w:val="28"/>
                              <w:lang w:val="en-US" w:eastAsia="zh-CN"/>
                            </w:rPr>
                            <w:t xml:space="preserve"> </w:t>
                          </w:r>
                          <w:r>
                            <w:rPr>
                              <w:rFonts w:ascii="宋体" w:hAnsi="宋体" w:eastAsia="宋体"/>
                              <w:b/>
                              <w:bCs/>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l7XO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">
              <v:fill on="f" focussize="0,0"/>
              <v:stroke on="f" weight="0.5pt"/>
              <v:imagedata o:title=""/>
              <o:lock v:ext="edit" aspectratio="f"/>
              <v:textbox inset="0mm,0mm,0mm,0mm" style="mso-fit-shape-to-text:t;">
                <w:txbxContent>
                  <w:p>
                    <w:pPr>
                      <w:pStyle w:val="7"/>
                      <w:rPr>
                        <w:rFonts w:ascii="宋体" w:hAnsi="宋体" w:eastAsia="宋体"/>
                        <w:b/>
                        <w:bCs/>
                        <w:sz w:val="28"/>
                      </w:rPr>
                    </w:pPr>
                    <w:r>
                      <w:rPr>
                        <w:rFonts w:ascii="宋体" w:hAnsi="宋体" w:eastAsia="宋体"/>
                        <w:b/>
                        <w:bCs/>
                        <w:sz w:val="28"/>
                      </w:rPr>
                      <w:t>—</w:t>
                    </w:r>
                    <w:r>
                      <w:rPr>
                        <w:rFonts w:hint="eastAsia" w:ascii="宋体" w:hAnsi="宋体"/>
                        <w:b/>
                        <w:bCs/>
                        <w:sz w:val="28"/>
                        <w:lang w:val="en-US" w:eastAsia="zh-CN"/>
                      </w:rPr>
                      <w:t xml:space="preserve"> </w:t>
                    </w:r>
                    <w:r>
                      <w:rPr>
                        <w:rFonts w:ascii="宋体" w:hAnsi="宋体" w:eastAsia="宋体"/>
                        <w:b/>
                        <w:bCs/>
                        <w:sz w:val="28"/>
                      </w:rPr>
                      <w:fldChar w:fldCharType="begin"/>
                    </w:r>
                    <w:r>
                      <w:rPr>
                        <w:rFonts w:ascii="宋体" w:hAnsi="宋体" w:eastAsia="宋体"/>
                        <w:b/>
                        <w:bCs/>
                        <w:sz w:val="28"/>
                      </w:rPr>
                      <w:instrText xml:space="preserve"> PAGE  \* MERGEFORMAT </w:instrText>
                    </w:r>
                    <w:r>
                      <w:rPr>
                        <w:rFonts w:ascii="宋体" w:hAnsi="宋体" w:eastAsia="宋体"/>
                        <w:b/>
                        <w:bCs/>
                        <w:sz w:val="28"/>
                      </w:rPr>
                      <w:fldChar w:fldCharType="separate"/>
                    </w:r>
                    <w:r>
                      <w:rPr>
                        <w:rFonts w:ascii="宋体" w:hAnsi="宋体" w:eastAsia="宋体"/>
                        <w:b/>
                        <w:bCs/>
                        <w:sz w:val="28"/>
                      </w:rPr>
                      <w:t>18</w:t>
                    </w:r>
                    <w:r>
                      <w:rPr>
                        <w:rFonts w:ascii="宋体" w:hAnsi="宋体" w:eastAsia="宋体"/>
                        <w:b/>
                        <w:bCs/>
                        <w:sz w:val="28"/>
                      </w:rPr>
                      <w:fldChar w:fldCharType="end"/>
                    </w:r>
                    <w:r>
                      <w:rPr>
                        <w:rFonts w:hint="eastAsia" w:ascii="宋体" w:hAnsi="宋体"/>
                        <w:b/>
                        <w:bCs/>
                        <w:sz w:val="28"/>
                        <w:lang w:val="en-US" w:eastAsia="zh-CN"/>
                      </w:rPr>
                      <w:t xml:space="preserve"> </w:t>
                    </w:r>
                    <w:r>
                      <w:rPr>
                        <w:rFonts w:ascii="宋体" w:hAnsi="宋体" w:eastAsia="宋体"/>
                        <w:b/>
                        <w:bCs/>
                        <w:sz w:val="28"/>
                      </w:rPr>
                      <w: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2" w:rightChars="113" w:firstLineChars="111"/>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宋体" w:hAnsi="宋体" w:eastAsia="宋体"/>
                              <w:b/>
                              <w:bCs/>
                              <w:sz w:val="28"/>
                            </w:rPr>
                          </w:pPr>
                          <w:r>
                            <w:rPr>
                              <w:rFonts w:ascii="宋体" w:hAnsi="宋体" w:eastAsia="宋体"/>
                              <w:b/>
                              <w:bCs/>
                              <w:sz w:val="28"/>
                            </w:rPr>
                            <w:t>—</w:t>
                          </w:r>
                          <w:r>
                            <w:rPr>
                              <w:rFonts w:hint="eastAsia" w:ascii="宋体" w:hAnsi="宋体"/>
                              <w:b/>
                              <w:bCs/>
                              <w:sz w:val="28"/>
                              <w:lang w:val="en-US" w:eastAsia="zh-CN"/>
                            </w:rPr>
                            <w:t xml:space="preserve"> </w:t>
                          </w:r>
                          <w:r>
                            <w:rPr>
                              <w:rFonts w:ascii="宋体" w:hAnsi="宋体" w:eastAsia="宋体"/>
                              <w:b/>
                              <w:bCs/>
                              <w:sz w:val="28"/>
                            </w:rPr>
                            <w:fldChar w:fldCharType="begin"/>
                          </w:r>
                          <w:r>
                            <w:rPr>
                              <w:rFonts w:ascii="宋体" w:hAnsi="宋体" w:eastAsia="宋体"/>
                              <w:b/>
                              <w:bCs/>
                              <w:sz w:val="28"/>
                            </w:rPr>
                            <w:instrText xml:space="preserve"> PAGE  \* MERGEFORMAT </w:instrText>
                          </w:r>
                          <w:r>
                            <w:rPr>
                              <w:rFonts w:ascii="宋体" w:hAnsi="宋体" w:eastAsia="宋体"/>
                              <w:b/>
                              <w:bCs/>
                              <w:sz w:val="28"/>
                            </w:rPr>
                            <w:fldChar w:fldCharType="separate"/>
                          </w:r>
                          <w:r>
                            <w:rPr>
                              <w:rFonts w:ascii="宋体" w:hAnsi="宋体" w:eastAsia="宋体"/>
                              <w:b/>
                              <w:bCs/>
                              <w:sz w:val="28"/>
                            </w:rPr>
                            <w:t>20</w:t>
                          </w:r>
                          <w:r>
                            <w:rPr>
                              <w:rFonts w:ascii="宋体" w:hAnsi="宋体" w:eastAsia="宋体"/>
                              <w:b/>
                              <w:bCs/>
                              <w:sz w:val="28"/>
                            </w:rPr>
                            <w:fldChar w:fldCharType="end"/>
                          </w:r>
                          <w:r>
                            <w:rPr>
                              <w:rFonts w:hint="eastAsia" w:ascii="宋体" w:hAnsi="宋体"/>
                              <w:b/>
                              <w:bCs/>
                              <w:sz w:val="28"/>
                              <w:lang w:val="en-US" w:eastAsia="zh-CN"/>
                            </w:rPr>
                            <w:t xml:space="preserve"> </w:t>
                          </w:r>
                          <w:r>
                            <w:rPr>
                              <w:rFonts w:ascii="宋体" w:hAnsi="宋体" w:eastAsia="宋体"/>
                              <w:b/>
                              <w:bCs/>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&#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AKVIPQyAgAAYQ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7"/>
                      <w:rPr>
                        <w:rFonts w:ascii="宋体" w:hAnsi="宋体" w:eastAsia="宋体"/>
                        <w:b/>
                        <w:bCs/>
                        <w:sz w:val="28"/>
                      </w:rPr>
                    </w:pPr>
                    <w:r>
                      <w:rPr>
                        <w:rFonts w:ascii="宋体" w:hAnsi="宋体" w:eastAsia="宋体"/>
                        <w:b/>
                        <w:bCs/>
                        <w:sz w:val="28"/>
                      </w:rPr>
                      <w:t>—</w:t>
                    </w:r>
                    <w:r>
                      <w:rPr>
                        <w:rFonts w:hint="eastAsia" w:ascii="宋体" w:hAnsi="宋体"/>
                        <w:b/>
                        <w:bCs/>
                        <w:sz w:val="28"/>
                        <w:lang w:val="en-US" w:eastAsia="zh-CN"/>
                      </w:rPr>
                      <w:t xml:space="preserve"> </w:t>
                    </w:r>
                    <w:r>
                      <w:rPr>
                        <w:rFonts w:ascii="宋体" w:hAnsi="宋体" w:eastAsia="宋体"/>
                        <w:b/>
                        <w:bCs/>
                        <w:sz w:val="28"/>
                      </w:rPr>
                      <w:fldChar w:fldCharType="begin"/>
                    </w:r>
                    <w:r>
                      <w:rPr>
                        <w:rFonts w:ascii="宋体" w:hAnsi="宋体" w:eastAsia="宋体"/>
                        <w:b/>
                        <w:bCs/>
                        <w:sz w:val="28"/>
                      </w:rPr>
                      <w:instrText xml:space="preserve"> PAGE  \* MERGEFORMAT </w:instrText>
                    </w:r>
                    <w:r>
                      <w:rPr>
                        <w:rFonts w:ascii="宋体" w:hAnsi="宋体" w:eastAsia="宋体"/>
                        <w:b/>
                        <w:bCs/>
                        <w:sz w:val="28"/>
                      </w:rPr>
                      <w:fldChar w:fldCharType="separate"/>
                    </w:r>
                    <w:r>
                      <w:rPr>
                        <w:rFonts w:ascii="宋体" w:hAnsi="宋体" w:eastAsia="宋体"/>
                        <w:b/>
                        <w:bCs/>
                        <w:sz w:val="28"/>
                      </w:rPr>
                      <w:t>20</w:t>
                    </w:r>
                    <w:r>
                      <w:rPr>
                        <w:rFonts w:ascii="宋体" w:hAnsi="宋体" w:eastAsia="宋体"/>
                        <w:b/>
                        <w:bCs/>
                        <w:sz w:val="28"/>
                      </w:rPr>
                      <w:fldChar w:fldCharType="end"/>
                    </w:r>
                    <w:r>
                      <w:rPr>
                        <w:rFonts w:hint="eastAsia" w:ascii="宋体" w:hAnsi="宋体"/>
                        <w:b/>
                        <w:bCs/>
                        <w:sz w:val="28"/>
                        <w:lang w:val="en-US" w:eastAsia="zh-CN"/>
                      </w:rPr>
                      <w:t xml:space="preserve"> </w:t>
                    </w:r>
                    <w:r>
                      <w:rPr>
                        <w:rFonts w:ascii="宋体" w:hAnsi="宋体" w:eastAsia="宋体"/>
                        <w:b/>
                        <w:bCs/>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ind w:firstLine="680"/>
      </w:pPr>
      <w:r>
        <w:separator/>
      </w:r>
    </w:p>
  </w:footnote>
  <w:footnote w:type="continuationSeparator" w:id="1">
    <w:p>
      <w:pPr>
        <w:spacing w:before="0" w:after="0" w:line="278" w:lineRule="auto"/>
        <w:ind w:firstLine="6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FB01CA"/>
    <w:multiLevelType w:val="singleLevel"/>
    <w:tmpl w:val="8EFB01CA"/>
    <w:lvl w:ilvl="0" w:tentative="0">
      <w:start w:val="7"/>
      <w:numFmt w:val="chineseCounting"/>
      <w:suff w:val="space"/>
      <w:lvlText w:val="第%1章"/>
      <w:lvlJc w:val="left"/>
      <w:rPr>
        <w:rFonts w:hint="eastAsia"/>
      </w:rPr>
    </w:lvl>
  </w:abstractNum>
  <w:abstractNum w:abstractNumId="1">
    <w:nsid w:val="671A9AA4"/>
    <w:multiLevelType w:val="singleLevel"/>
    <w:tmpl w:val="671A9AA4"/>
    <w:lvl w:ilvl="0" w:tentative="0">
      <w:start w:val="1"/>
      <w:numFmt w:val="decimal"/>
      <w:suff w:val="nothing"/>
      <w:lvlText w:val="%1"/>
      <w:lvlJc w:val="left"/>
      <w:pPr>
        <w:tabs>
          <w:tab w:val="left" w:pos="0"/>
        </w:tabs>
        <w:ind w:left="0" w:firstLine="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mirrorMargins w:val="1"/>
  <w:bordersDoNotSurroundHeader w:val="1"/>
  <w:bordersDoNotSurroundFooter w:val="1"/>
  <w:revisionView w:markup="0"/>
  <w:documentProtection w:enforcement="0"/>
  <w:defaultTabStop w:val="420"/>
  <w:drawingGridHorizontalSpacing w:val="170"/>
  <w:drawingGridVerticalSpacing w:val="579"/>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diODYzMzY0NDkzMDg5NTYzMDRhZjVmY2UyOGZkNjYifQ=="/>
  </w:docVars>
  <w:rsids>
    <w:rsidRoot w:val="00C94BB7"/>
    <w:rsid w:val="000436DC"/>
    <w:rsid w:val="00084672"/>
    <w:rsid w:val="000978F2"/>
    <w:rsid w:val="000B1DE1"/>
    <w:rsid w:val="000B6782"/>
    <w:rsid w:val="000C1506"/>
    <w:rsid w:val="000C2BF1"/>
    <w:rsid w:val="00110623"/>
    <w:rsid w:val="00155BFE"/>
    <w:rsid w:val="0019693D"/>
    <w:rsid w:val="001A719F"/>
    <w:rsid w:val="001C207A"/>
    <w:rsid w:val="001D39FC"/>
    <w:rsid w:val="001E3D80"/>
    <w:rsid w:val="001F6978"/>
    <w:rsid w:val="00212D5A"/>
    <w:rsid w:val="00235FA0"/>
    <w:rsid w:val="00263EC3"/>
    <w:rsid w:val="00271341"/>
    <w:rsid w:val="00272E1D"/>
    <w:rsid w:val="00294138"/>
    <w:rsid w:val="002F086C"/>
    <w:rsid w:val="002F711C"/>
    <w:rsid w:val="00306973"/>
    <w:rsid w:val="00317565"/>
    <w:rsid w:val="00336E29"/>
    <w:rsid w:val="003506B1"/>
    <w:rsid w:val="003B3D3E"/>
    <w:rsid w:val="003C77FE"/>
    <w:rsid w:val="003F0B41"/>
    <w:rsid w:val="0040034B"/>
    <w:rsid w:val="004200D9"/>
    <w:rsid w:val="00443B1C"/>
    <w:rsid w:val="00447E3E"/>
    <w:rsid w:val="0046789F"/>
    <w:rsid w:val="00470208"/>
    <w:rsid w:val="004745A7"/>
    <w:rsid w:val="004868DF"/>
    <w:rsid w:val="004A0227"/>
    <w:rsid w:val="004D7829"/>
    <w:rsid w:val="00516450"/>
    <w:rsid w:val="00521544"/>
    <w:rsid w:val="00542E01"/>
    <w:rsid w:val="00586F08"/>
    <w:rsid w:val="005E66B2"/>
    <w:rsid w:val="005E7F0D"/>
    <w:rsid w:val="005F2983"/>
    <w:rsid w:val="005F38BA"/>
    <w:rsid w:val="00620803"/>
    <w:rsid w:val="00623F5E"/>
    <w:rsid w:val="00643D6D"/>
    <w:rsid w:val="00646CC2"/>
    <w:rsid w:val="0068225A"/>
    <w:rsid w:val="006C5F82"/>
    <w:rsid w:val="006E763B"/>
    <w:rsid w:val="006E76D4"/>
    <w:rsid w:val="00730BC4"/>
    <w:rsid w:val="007332AD"/>
    <w:rsid w:val="007360C6"/>
    <w:rsid w:val="00740920"/>
    <w:rsid w:val="00744438"/>
    <w:rsid w:val="007545BE"/>
    <w:rsid w:val="00761896"/>
    <w:rsid w:val="007C675F"/>
    <w:rsid w:val="007D0084"/>
    <w:rsid w:val="007E7E40"/>
    <w:rsid w:val="007F04C4"/>
    <w:rsid w:val="008C42E5"/>
    <w:rsid w:val="008C4CD2"/>
    <w:rsid w:val="008E66DF"/>
    <w:rsid w:val="00942A72"/>
    <w:rsid w:val="00955201"/>
    <w:rsid w:val="009561D1"/>
    <w:rsid w:val="00963006"/>
    <w:rsid w:val="0097541F"/>
    <w:rsid w:val="009756E5"/>
    <w:rsid w:val="009A756E"/>
    <w:rsid w:val="009B5565"/>
    <w:rsid w:val="009C50AC"/>
    <w:rsid w:val="009F288F"/>
    <w:rsid w:val="00A01D3A"/>
    <w:rsid w:val="00A05499"/>
    <w:rsid w:val="00A12AEB"/>
    <w:rsid w:val="00A2509C"/>
    <w:rsid w:val="00A35AF4"/>
    <w:rsid w:val="00A5442E"/>
    <w:rsid w:val="00A76329"/>
    <w:rsid w:val="00A76ABF"/>
    <w:rsid w:val="00A81732"/>
    <w:rsid w:val="00A86D47"/>
    <w:rsid w:val="00AD3663"/>
    <w:rsid w:val="00AF22D1"/>
    <w:rsid w:val="00B46ADC"/>
    <w:rsid w:val="00B526A0"/>
    <w:rsid w:val="00B61496"/>
    <w:rsid w:val="00B66A8D"/>
    <w:rsid w:val="00B84AEA"/>
    <w:rsid w:val="00BA16ED"/>
    <w:rsid w:val="00BA4D49"/>
    <w:rsid w:val="00BB738E"/>
    <w:rsid w:val="00BD01EA"/>
    <w:rsid w:val="00BD0976"/>
    <w:rsid w:val="00BD3DD0"/>
    <w:rsid w:val="00BF3F36"/>
    <w:rsid w:val="00C139F5"/>
    <w:rsid w:val="00C142FF"/>
    <w:rsid w:val="00C2173C"/>
    <w:rsid w:val="00C84F98"/>
    <w:rsid w:val="00C86E2A"/>
    <w:rsid w:val="00C94BB7"/>
    <w:rsid w:val="00D13891"/>
    <w:rsid w:val="00D15910"/>
    <w:rsid w:val="00D537A5"/>
    <w:rsid w:val="00D81A02"/>
    <w:rsid w:val="00D908E7"/>
    <w:rsid w:val="00D914C7"/>
    <w:rsid w:val="00D93606"/>
    <w:rsid w:val="00D95FF7"/>
    <w:rsid w:val="00DC2DA8"/>
    <w:rsid w:val="00DC4313"/>
    <w:rsid w:val="00DD2F89"/>
    <w:rsid w:val="00DE7149"/>
    <w:rsid w:val="00DF2257"/>
    <w:rsid w:val="00E17691"/>
    <w:rsid w:val="00E37C28"/>
    <w:rsid w:val="00E50BCB"/>
    <w:rsid w:val="00E607A6"/>
    <w:rsid w:val="00E745DC"/>
    <w:rsid w:val="00EF01F1"/>
    <w:rsid w:val="00F11090"/>
    <w:rsid w:val="00F113FA"/>
    <w:rsid w:val="00F27BBF"/>
    <w:rsid w:val="00F64539"/>
    <w:rsid w:val="00FA39F1"/>
    <w:rsid w:val="00FB7AB5"/>
    <w:rsid w:val="00FE1CDC"/>
    <w:rsid w:val="04A7623B"/>
    <w:rsid w:val="0B690CAE"/>
    <w:rsid w:val="0CBF13B8"/>
    <w:rsid w:val="0D8817F8"/>
    <w:rsid w:val="0F561958"/>
    <w:rsid w:val="10A644B9"/>
    <w:rsid w:val="117F087D"/>
    <w:rsid w:val="143D4C2A"/>
    <w:rsid w:val="14626A2C"/>
    <w:rsid w:val="1507117C"/>
    <w:rsid w:val="17D579CD"/>
    <w:rsid w:val="181C0609"/>
    <w:rsid w:val="1841026F"/>
    <w:rsid w:val="1AA1544A"/>
    <w:rsid w:val="1C4260CB"/>
    <w:rsid w:val="1C4F046F"/>
    <w:rsid w:val="1D6A016C"/>
    <w:rsid w:val="1DBD6532"/>
    <w:rsid w:val="1E42335E"/>
    <w:rsid w:val="1F084C4E"/>
    <w:rsid w:val="217178D4"/>
    <w:rsid w:val="238C6112"/>
    <w:rsid w:val="23D23C60"/>
    <w:rsid w:val="2698288C"/>
    <w:rsid w:val="28914945"/>
    <w:rsid w:val="2B636A25"/>
    <w:rsid w:val="2F234AE5"/>
    <w:rsid w:val="30930E2E"/>
    <w:rsid w:val="31E2210F"/>
    <w:rsid w:val="325430D7"/>
    <w:rsid w:val="33D91FFC"/>
    <w:rsid w:val="34794096"/>
    <w:rsid w:val="34F72F76"/>
    <w:rsid w:val="354F4A40"/>
    <w:rsid w:val="36AF5305"/>
    <w:rsid w:val="372C04BE"/>
    <w:rsid w:val="37632609"/>
    <w:rsid w:val="379B0DC4"/>
    <w:rsid w:val="37B64548"/>
    <w:rsid w:val="38451629"/>
    <w:rsid w:val="393F6448"/>
    <w:rsid w:val="39E90ABD"/>
    <w:rsid w:val="3DB53026"/>
    <w:rsid w:val="486222E2"/>
    <w:rsid w:val="4CB47853"/>
    <w:rsid w:val="4CDE3355"/>
    <w:rsid w:val="4D2D6313"/>
    <w:rsid w:val="4F00EC56"/>
    <w:rsid w:val="50A02689"/>
    <w:rsid w:val="5123346E"/>
    <w:rsid w:val="522D5DF4"/>
    <w:rsid w:val="567946BF"/>
    <w:rsid w:val="57133517"/>
    <w:rsid w:val="57FFA465"/>
    <w:rsid w:val="5C2C1206"/>
    <w:rsid w:val="5C2E653B"/>
    <w:rsid w:val="5D2551E1"/>
    <w:rsid w:val="5D6701C0"/>
    <w:rsid w:val="5DE52DE2"/>
    <w:rsid w:val="5EE9A28B"/>
    <w:rsid w:val="5EEF284E"/>
    <w:rsid w:val="5FBC6C8F"/>
    <w:rsid w:val="624415BD"/>
    <w:rsid w:val="629A2AB0"/>
    <w:rsid w:val="63692BE3"/>
    <w:rsid w:val="65FB76BE"/>
    <w:rsid w:val="671A4D1E"/>
    <w:rsid w:val="67AE1CF1"/>
    <w:rsid w:val="67FB2F76"/>
    <w:rsid w:val="68D423D1"/>
    <w:rsid w:val="6AFD2380"/>
    <w:rsid w:val="6B5D3B93"/>
    <w:rsid w:val="6D5F6C74"/>
    <w:rsid w:val="6FBF516A"/>
    <w:rsid w:val="710247A8"/>
    <w:rsid w:val="717D030F"/>
    <w:rsid w:val="72EC7AD7"/>
    <w:rsid w:val="74F10277"/>
    <w:rsid w:val="79DBAEE5"/>
    <w:rsid w:val="7AC94CE6"/>
    <w:rsid w:val="7DFF47F8"/>
    <w:rsid w:val="7F572D48"/>
    <w:rsid w:val="7F5E05D3"/>
    <w:rsid w:val="7FDC9763"/>
    <w:rsid w:val="7FE97668"/>
    <w:rsid w:val="7FFA40BD"/>
    <w:rsid w:val="7FFF6953"/>
    <w:rsid w:val="7FFFC037"/>
    <w:rsid w:val="BFFD0DAD"/>
    <w:rsid w:val="BFFEF1E9"/>
    <w:rsid w:val="CBF6F239"/>
    <w:rsid w:val="DDEBCA11"/>
    <w:rsid w:val="DF5F3C4B"/>
    <w:rsid w:val="FBF602CC"/>
    <w:rsid w:val="FEF6CB4E"/>
    <w:rsid w:val="FFB7C050"/>
    <w:rsid w:val="FFF1DECD"/>
    <w:rsid w:val="FFF75AC7"/>
    <w:rsid w:val="FFF7AEBA"/>
    <w:rsid w:val="FFFBFE30"/>
    <w:rsid w:val="FFFD08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ind w:firstLine="200" w:firstLineChars="200"/>
      <w:jc w:val="both"/>
    </w:pPr>
    <w:rPr>
      <w:rFonts w:ascii="Times New Roman" w:hAnsi="Times New Roman" w:eastAsia="宋体" w:cs="Times New Roman"/>
      <w:kern w:val="2"/>
      <w:sz w:val="32"/>
      <w:szCs w:val="32"/>
      <w:lang w:val="en-US" w:eastAsia="zh-CN" w:bidi="ar-SA"/>
    </w:rPr>
  </w:style>
  <w:style w:type="paragraph" w:styleId="2">
    <w:name w:val="heading 1"/>
    <w:basedOn w:val="1"/>
    <w:next w:val="1"/>
    <w:link w:val="17"/>
    <w:qFormat/>
    <w:uiPriority w:val="99"/>
    <w:pPr>
      <w:keepNext/>
      <w:keepLines/>
      <w:spacing w:before="340" w:after="330" w:line="578" w:lineRule="auto"/>
      <w:outlineLvl w:val="0"/>
    </w:pPr>
    <w:rPr>
      <w:b/>
      <w:bCs/>
      <w:kern w:val="44"/>
      <w:sz w:val="44"/>
      <w:szCs w:val="4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1"/>
    <w:semiHidden/>
    <w:qFormat/>
    <w:uiPriority w:val="99"/>
    <w:pPr>
      <w:shd w:val="clear" w:color="auto" w:fill="000080"/>
    </w:pPr>
    <w:rPr>
      <w:kern w:val="0"/>
      <w:sz w:val="2"/>
      <w:szCs w:val="2"/>
    </w:rPr>
  </w:style>
  <w:style w:type="paragraph" w:styleId="4">
    <w:name w:val="annotation text"/>
    <w:basedOn w:val="1"/>
    <w:link w:val="30"/>
    <w:semiHidden/>
    <w:unhideWhenUsed/>
    <w:qFormat/>
    <w:uiPriority w:val="99"/>
    <w:pPr>
      <w:jc w:val="left"/>
    </w:pPr>
  </w:style>
  <w:style w:type="paragraph" w:styleId="5">
    <w:name w:val="Body Text Indent"/>
    <w:basedOn w:val="1"/>
    <w:link w:val="22"/>
    <w:qFormat/>
    <w:uiPriority w:val="99"/>
    <w:pPr>
      <w:spacing w:after="120"/>
      <w:ind w:left="420" w:leftChars="200"/>
    </w:pPr>
  </w:style>
  <w:style w:type="paragraph" w:styleId="6">
    <w:name w:val="Balloon Text"/>
    <w:basedOn w:val="1"/>
    <w:link w:val="20"/>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100" w:beforeAutospacing="1" w:after="100" w:afterAutospacing="1"/>
      <w:jc w:val="left"/>
    </w:pPr>
    <w:rPr>
      <w:rFonts w:ascii="Calibri" w:hAnsi="Calibri" w:cs="Calibri"/>
      <w:kern w:val="0"/>
      <w:sz w:val="24"/>
      <w:szCs w:val="24"/>
    </w:rPr>
  </w:style>
  <w:style w:type="paragraph" w:styleId="10">
    <w:name w:val="annotation subject"/>
    <w:basedOn w:val="4"/>
    <w:next w:val="4"/>
    <w:link w:val="31"/>
    <w:semiHidden/>
    <w:unhideWhenUsed/>
    <w:qFormat/>
    <w:uiPriority w:val="99"/>
    <w:rPr>
      <w:b/>
      <w:bCs/>
    </w:rPr>
  </w:style>
  <w:style w:type="paragraph" w:styleId="11">
    <w:name w:val="Body Text First Indent 2"/>
    <w:basedOn w:val="1"/>
    <w:link w:val="23"/>
    <w:qFormat/>
    <w:uiPriority w:val="99"/>
    <w:pPr>
      <w:widowControl/>
      <w:spacing w:line="560" w:lineRule="exact"/>
      <w:ind w:firstLine="632"/>
    </w:pPr>
    <w:rPr>
      <w:rFonts w:ascii="方正仿宋简体" w:eastAsia="方正仿宋简体"/>
    </w:rPr>
  </w:style>
  <w:style w:type="character" w:styleId="14">
    <w:name w:val="page number"/>
    <w:basedOn w:val="13"/>
    <w:qFormat/>
    <w:uiPriority w:val="99"/>
    <w:rPr>
      <w:rFonts w:cs="Times New Roman"/>
    </w:rPr>
  </w:style>
  <w:style w:type="character" w:styleId="15">
    <w:name w:val="Hyperlink"/>
    <w:basedOn w:val="13"/>
    <w:qFormat/>
    <w:uiPriority w:val="99"/>
    <w:rPr>
      <w:rFonts w:cs="Times New Roman"/>
      <w:color w:val="0000FF"/>
      <w:u w:val="single"/>
    </w:rPr>
  </w:style>
  <w:style w:type="character" w:styleId="16">
    <w:name w:val="annotation reference"/>
    <w:basedOn w:val="13"/>
    <w:semiHidden/>
    <w:qFormat/>
    <w:uiPriority w:val="99"/>
    <w:rPr>
      <w:rFonts w:cs="Times New Roman"/>
      <w:sz w:val="21"/>
    </w:rPr>
  </w:style>
  <w:style w:type="character" w:customStyle="1" w:styleId="17">
    <w:name w:val="标题 1 Char"/>
    <w:basedOn w:val="13"/>
    <w:link w:val="2"/>
    <w:qFormat/>
    <w:uiPriority w:val="99"/>
    <w:rPr>
      <w:rFonts w:ascii="Times New Roman" w:hAnsi="Times New Roman" w:eastAsia="宋体" w:cs="Times New Roman"/>
      <w:b/>
      <w:bCs/>
      <w:kern w:val="44"/>
      <w:sz w:val="44"/>
      <w:szCs w:val="44"/>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character" w:customStyle="1" w:styleId="20">
    <w:name w:val="批注框文本 Char"/>
    <w:basedOn w:val="13"/>
    <w:link w:val="6"/>
    <w:semiHidden/>
    <w:qFormat/>
    <w:uiPriority w:val="99"/>
    <w:rPr>
      <w:rFonts w:ascii="Times New Roman" w:hAnsi="Times New Roman" w:eastAsia="宋体" w:cs="Times New Roman"/>
      <w:sz w:val="18"/>
      <w:szCs w:val="18"/>
    </w:rPr>
  </w:style>
  <w:style w:type="character" w:customStyle="1" w:styleId="21">
    <w:name w:val="文档结构图 Char"/>
    <w:basedOn w:val="13"/>
    <w:link w:val="3"/>
    <w:semiHidden/>
    <w:qFormat/>
    <w:uiPriority w:val="99"/>
    <w:rPr>
      <w:rFonts w:ascii="Times New Roman" w:hAnsi="Times New Roman" w:eastAsia="宋体" w:cs="Times New Roman"/>
      <w:kern w:val="0"/>
      <w:sz w:val="2"/>
      <w:szCs w:val="2"/>
      <w:shd w:val="clear" w:color="auto" w:fill="000080"/>
    </w:rPr>
  </w:style>
  <w:style w:type="character" w:customStyle="1" w:styleId="22">
    <w:name w:val="正文文本缩进 Char"/>
    <w:basedOn w:val="13"/>
    <w:link w:val="5"/>
    <w:qFormat/>
    <w:uiPriority w:val="99"/>
    <w:rPr>
      <w:rFonts w:ascii="Times New Roman" w:hAnsi="Times New Roman" w:eastAsia="宋体" w:cs="Times New Roman"/>
      <w:sz w:val="32"/>
      <w:szCs w:val="32"/>
    </w:rPr>
  </w:style>
  <w:style w:type="character" w:customStyle="1" w:styleId="23">
    <w:name w:val="正文首行缩进 2 Char"/>
    <w:basedOn w:val="22"/>
    <w:link w:val="11"/>
    <w:qFormat/>
    <w:uiPriority w:val="99"/>
    <w:rPr>
      <w:rFonts w:ascii="方正仿宋简体" w:hAnsi="Times New Roman" w:eastAsia="方正仿宋简体" w:cs="Times New Roman"/>
      <w:sz w:val="32"/>
      <w:szCs w:val="32"/>
    </w:rPr>
  </w:style>
  <w:style w:type="paragraph" w:customStyle="1" w:styleId="24">
    <w:name w:val="Char Char Char Char"/>
    <w:basedOn w:val="1"/>
    <w:qFormat/>
    <w:uiPriority w:val="99"/>
    <w:pPr>
      <w:widowControl/>
      <w:jc w:val="center"/>
    </w:pPr>
    <w:rPr>
      <w:rFonts w:ascii="宋体" w:hAnsi="宋体" w:cs="宋体"/>
      <w:kern w:val="0"/>
      <w:sz w:val="24"/>
      <w:szCs w:val="24"/>
    </w:rPr>
  </w:style>
  <w:style w:type="paragraph" w:customStyle="1" w:styleId="25">
    <w:name w:val="报告正文"/>
    <w:basedOn w:val="1"/>
    <w:qFormat/>
    <w:uiPriority w:val="99"/>
    <w:pPr>
      <w:spacing w:line="420" w:lineRule="exact"/>
    </w:pPr>
    <w:rPr>
      <w:rFonts w:ascii="Times" w:hAnsi="Times" w:cs="Times"/>
      <w:sz w:val="24"/>
      <w:szCs w:val="24"/>
    </w:rPr>
  </w:style>
  <w:style w:type="paragraph" w:customStyle="1" w:styleId="26">
    <w:name w:val="列出段落1"/>
    <w:basedOn w:val="1"/>
    <w:qFormat/>
    <w:uiPriority w:val="99"/>
    <w:pPr>
      <w:ind w:firstLine="420"/>
    </w:pPr>
  </w:style>
  <w:style w:type="paragraph" w:customStyle="1" w:styleId="27">
    <w:name w:val="reader-word-layer reader-word-s2-17"/>
    <w:basedOn w:val="1"/>
    <w:qFormat/>
    <w:uiPriority w:val="99"/>
    <w:pPr>
      <w:widowControl/>
      <w:spacing w:before="100" w:beforeAutospacing="1" w:after="100" w:afterAutospacing="1"/>
      <w:jc w:val="left"/>
    </w:pPr>
    <w:rPr>
      <w:rFonts w:ascii="宋体" w:hAnsi="宋体" w:cs="宋体"/>
      <w:kern w:val="0"/>
      <w:sz w:val="24"/>
      <w:szCs w:val="24"/>
    </w:rPr>
  </w:style>
  <w:style w:type="paragraph" w:styleId="28">
    <w:name w:val="List Paragraph"/>
    <w:basedOn w:val="1"/>
    <w:qFormat/>
    <w:uiPriority w:val="99"/>
    <w:pPr>
      <w:ind w:firstLine="420"/>
    </w:pPr>
  </w:style>
  <w:style w:type="paragraph" w:customStyle="1" w:styleId="29">
    <w:name w:val="修订1"/>
    <w:hidden/>
    <w:semiHidden/>
    <w:qFormat/>
    <w:uiPriority w:val="99"/>
    <w:pPr>
      <w:spacing w:after="160" w:line="278" w:lineRule="auto"/>
    </w:pPr>
    <w:rPr>
      <w:rFonts w:ascii="Times New Roman" w:hAnsi="Times New Roman" w:eastAsia="宋体" w:cs="Times New Roman"/>
      <w:kern w:val="2"/>
      <w:sz w:val="32"/>
      <w:szCs w:val="32"/>
      <w:lang w:val="en-US" w:eastAsia="zh-CN" w:bidi="ar-SA"/>
    </w:rPr>
  </w:style>
  <w:style w:type="character" w:customStyle="1" w:styleId="30">
    <w:name w:val="批注文字 Char"/>
    <w:basedOn w:val="13"/>
    <w:link w:val="4"/>
    <w:semiHidden/>
    <w:qFormat/>
    <w:uiPriority w:val="99"/>
    <w:rPr>
      <w:rFonts w:ascii="Times New Roman" w:hAnsi="Times New Roman" w:eastAsia="宋体" w:cs="Times New Roman"/>
      <w:sz w:val="32"/>
      <w:szCs w:val="32"/>
    </w:rPr>
  </w:style>
  <w:style w:type="character" w:customStyle="1" w:styleId="31">
    <w:name w:val="批注主题 Char"/>
    <w:basedOn w:val="30"/>
    <w:link w:val="10"/>
    <w:semiHidden/>
    <w:qFormat/>
    <w:uiPriority w:val="99"/>
    <w:rPr>
      <w:rFonts w:ascii="Times New Roman" w:hAnsi="Times New Roman" w:eastAsia="宋体" w:cs="Times New Roman"/>
      <w:b/>
      <w:bCs/>
      <w:sz w:val="32"/>
      <w:szCs w:val="32"/>
    </w:rPr>
  </w:style>
  <w:style w:type="paragraph" w:customStyle="1" w:styleId="32">
    <w:name w:val="修订2"/>
    <w:hidden/>
    <w:unhideWhenUsed/>
    <w:qFormat/>
    <w:uiPriority w:val="99"/>
    <w:rPr>
      <w:rFonts w:ascii="Times New Roman" w:hAnsi="Times New Roman" w:eastAsia="宋体"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18</Pages>
  <Words>1118</Words>
  <Characters>6373</Characters>
  <Lines>53</Lines>
  <Paragraphs>14</Paragraphs>
  <TotalTime>4</TotalTime>
  <ScaleCrop>false</ScaleCrop>
  <LinksUpToDate>false</LinksUpToDate>
  <CharactersWithSpaces>7477</CharactersWithSpaces>
  <Application>WPS Office_11.8.2.11851_F1E327BC-269C-435d-A152-05C5408002CA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2023-12-17T19:44:00Z</dcterms:created>
  <dc:creator>zbzx_wjf</dc:creator>
  <cp:lastModifiedBy>杨琼</cp:lastModifiedBy>
  <cp:lastPrinted>2024-03-15T11:50:00Z</cp:lastPrinted>
  <dcterms:modified xsi:type="dcterms:W3CDTF">2024-03-18T17:03:48Z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2052-11.8.2.11851</vt:lpwstr>
  </property>
  <property fmtid="{D5CDD505-2E9C-101B-9397-08002B2CF9AE}" pid="3" name="ICV">
    <vt:lpwstr>D049AC329DFD1BEF7403F865E6B101A6</vt:lpwstr>
  </property>
</Properties>
</file>